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DD77F2" w14:textId="77777777" w:rsidR="00A84015" w:rsidRDefault="00000000">
      <w:pPr>
        <w:pStyle w:val="BodyText"/>
        <w:spacing w:before="60" w:line="480" w:lineRule="auto"/>
        <w:ind w:right="1086"/>
      </w:pPr>
      <w:r>
        <w:rPr>
          <w:b/>
        </w:rPr>
        <w:t>Title:</w:t>
      </w:r>
      <w:r>
        <w:rPr>
          <w:b/>
          <w:spacing w:val="-5"/>
        </w:rPr>
        <w:t xml:space="preserve"> </w:t>
      </w:r>
      <w:r>
        <w:t>The</w:t>
      </w:r>
      <w:r>
        <w:rPr>
          <w:spacing w:val="-5"/>
        </w:rPr>
        <w:t xml:space="preserve"> </w:t>
      </w:r>
      <w:r>
        <w:t>display</w:t>
      </w:r>
      <w:r>
        <w:rPr>
          <w:spacing w:val="-5"/>
        </w:rPr>
        <w:t xml:space="preserve"> </w:t>
      </w:r>
      <w:r>
        <w:t>and</w:t>
      </w:r>
      <w:r>
        <w:rPr>
          <w:spacing w:val="-5"/>
        </w:rPr>
        <w:t xml:space="preserve"> </w:t>
      </w:r>
      <w:r>
        <w:t>advertising</w:t>
      </w:r>
      <w:r>
        <w:rPr>
          <w:spacing w:val="-5"/>
        </w:rPr>
        <w:t xml:space="preserve"> </w:t>
      </w:r>
      <w:r>
        <w:t>of</w:t>
      </w:r>
      <w:r>
        <w:rPr>
          <w:spacing w:val="-5"/>
        </w:rPr>
        <w:t xml:space="preserve"> </w:t>
      </w:r>
      <w:r>
        <w:t>roll-your-own</w:t>
      </w:r>
      <w:r>
        <w:rPr>
          <w:spacing w:val="-5"/>
        </w:rPr>
        <w:t xml:space="preserve"> </w:t>
      </w:r>
      <w:r>
        <w:t>tobacco</w:t>
      </w:r>
      <w:r>
        <w:rPr>
          <w:spacing w:val="-5"/>
        </w:rPr>
        <w:t xml:space="preserve"> </w:t>
      </w:r>
      <w:r>
        <w:t>at</w:t>
      </w:r>
      <w:r>
        <w:rPr>
          <w:spacing w:val="-5"/>
        </w:rPr>
        <w:t xml:space="preserve"> </w:t>
      </w:r>
      <w:r>
        <w:t>points-of-sale</w:t>
      </w:r>
      <w:r>
        <w:rPr>
          <w:spacing w:val="-5"/>
        </w:rPr>
        <w:t xml:space="preserve"> </w:t>
      </w:r>
      <w:r>
        <w:t>in</w:t>
      </w:r>
      <w:r>
        <w:rPr>
          <w:spacing w:val="-5"/>
        </w:rPr>
        <w:t xml:space="preserve"> </w:t>
      </w:r>
      <w:r>
        <w:t>Argentina, Guatemala, Mexico, and Peru.</w:t>
      </w:r>
    </w:p>
    <w:p w14:paraId="554F3B6B" w14:textId="77777777" w:rsidR="00A84015" w:rsidRDefault="00A84015">
      <w:pPr>
        <w:pStyle w:val="BodyText"/>
        <w:ind w:left="0"/>
      </w:pPr>
    </w:p>
    <w:p w14:paraId="5BA7586A" w14:textId="77777777" w:rsidR="00A84015" w:rsidRDefault="00000000">
      <w:pPr>
        <w:pStyle w:val="Heading2"/>
        <w:spacing w:before="276"/>
      </w:pPr>
      <w:r>
        <w:rPr>
          <w:spacing w:val="-2"/>
        </w:rPr>
        <w:t>Authors</w:t>
      </w:r>
    </w:p>
    <w:p w14:paraId="3DF7C941" w14:textId="77777777" w:rsidR="00A84015" w:rsidRDefault="00000000">
      <w:pPr>
        <w:pStyle w:val="BodyText"/>
        <w:spacing w:before="276" w:line="480" w:lineRule="auto"/>
        <w:ind w:right="1086"/>
      </w:pPr>
      <w:r>
        <w:t>Emilia</w:t>
      </w:r>
      <w:r>
        <w:rPr>
          <w:spacing w:val="-6"/>
        </w:rPr>
        <w:t xml:space="preserve"> </w:t>
      </w:r>
      <w:r>
        <w:t>Elicabe</w:t>
      </w:r>
      <w:r>
        <w:rPr>
          <w:spacing w:val="-6"/>
        </w:rPr>
        <w:t xml:space="preserve"> </w:t>
      </w:r>
      <w:r>
        <w:t>MSc</w:t>
      </w:r>
      <w:r>
        <w:rPr>
          <w:vertAlign w:val="superscript"/>
        </w:rPr>
        <w:t>1</w:t>
      </w:r>
      <w:r>
        <w:t>,</w:t>
      </w:r>
      <w:r>
        <w:rPr>
          <w:spacing w:val="-6"/>
        </w:rPr>
        <w:t xml:space="preserve"> </w:t>
      </w:r>
      <w:r>
        <w:t>María</w:t>
      </w:r>
      <w:r>
        <w:rPr>
          <w:spacing w:val="-6"/>
        </w:rPr>
        <w:t xml:space="preserve"> </w:t>
      </w:r>
      <w:r>
        <w:t>Belén</w:t>
      </w:r>
      <w:r>
        <w:rPr>
          <w:spacing w:val="-6"/>
        </w:rPr>
        <w:t xml:space="preserve"> </w:t>
      </w:r>
      <w:r>
        <w:t>Arnaudo</w:t>
      </w:r>
      <w:r>
        <w:rPr>
          <w:spacing w:val="-6"/>
        </w:rPr>
        <w:t xml:space="preserve"> </w:t>
      </w:r>
      <w:r>
        <w:t>MSc</w:t>
      </w:r>
      <w:r>
        <w:rPr>
          <w:vertAlign w:val="superscript"/>
        </w:rPr>
        <w:t>1</w:t>
      </w:r>
      <w:r>
        <w:t>,</w:t>
      </w:r>
      <w:r>
        <w:rPr>
          <w:spacing w:val="-6"/>
        </w:rPr>
        <w:t xml:space="preserve"> </w:t>
      </w:r>
      <w:r>
        <w:t>Crawford</w:t>
      </w:r>
      <w:r>
        <w:rPr>
          <w:spacing w:val="-6"/>
        </w:rPr>
        <w:t xml:space="preserve"> </w:t>
      </w:r>
      <w:r>
        <w:t>Moodie</w:t>
      </w:r>
      <w:r>
        <w:rPr>
          <w:spacing w:val="-6"/>
        </w:rPr>
        <w:t xml:space="preserve"> </w:t>
      </w:r>
      <w:r>
        <w:t>PhD</w:t>
      </w:r>
      <w:r>
        <w:rPr>
          <w:vertAlign w:val="superscript"/>
        </w:rPr>
        <w:t>2</w:t>
      </w:r>
      <w:r>
        <w:t>,</w:t>
      </w:r>
      <w:r>
        <w:rPr>
          <w:spacing w:val="-6"/>
        </w:rPr>
        <w:t xml:space="preserve"> </w:t>
      </w:r>
      <w:r>
        <w:t>Catherine</w:t>
      </w:r>
      <w:r>
        <w:rPr>
          <w:spacing w:val="-6"/>
        </w:rPr>
        <w:t xml:space="preserve"> </w:t>
      </w:r>
      <w:r>
        <w:t>Best PhD</w:t>
      </w:r>
      <w:r>
        <w:rPr>
          <w:vertAlign w:val="superscript"/>
        </w:rPr>
        <w:t>2</w:t>
      </w:r>
      <w:r>
        <w:t>, Georgia Alexandrou PhD</w:t>
      </w:r>
      <w:r>
        <w:rPr>
          <w:vertAlign w:val="superscript"/>
        </w:rPr>
        <w:t>2</w:t>
      </w:r>
      <w:r>
        <w:t>, Raúl Mejia</w:t>
      </w:r>
      <w:r>
        <w:rPr>
          <w:vertAlign w:val="superscript"/>
        </w:rPr>
        <w:t>2</w:t>
      </w:r>
      <w:r>
        <w:t>, on behalf of the REMAP team.</w:t>
      </w:r>
    </w:p>
    <w:p w14:paraId="65F087EC" w14:textId="77777777" w:rsidR="00A84015" w:rsidRDefault="00000000">
      <w:pPr>
        <w:pStyle w:val="Heading2"/>
      </w:pPr>
      <w:r>
        <w:rPr>
          <w:spacing w:val="-2"/>
        </w:rPr>
        <w:t>Affiliations</w:t>
      </w:r>
    </w:p>
    <w:p w14:paraId="579B433F" w14:textId="77777777" w:rsidR="00A84015" w:rsidRDefault="00000000">
      <w:pPr>
        <w:pStyle w:val="BodyText"/>
        <w:spacing w:before="276"/>
      </w:pPr>
      <w:r>
        <w:rPr>
          <w:vertAlign w:val="superscript"/>
        </w:rPr>
        <w:t>1</w:t>
      </w:r>
      <w:r>
        <w:rPr>
          <w:spacing w:val="-3"/>
        </w:rPr>
        <w:t xml:space="preserve"> </w:t>
      </w:r>
      <w:r>
        <w:t>Centro</w:t>
      </w:r>
      <w:r>
        <w:rPr>
          <w:spacing w:val="-2"/>
        </w:rPr>
        <w:t xml:space="preserve"> </w:t>
      </w:r>
      <w:r>
        <w:t>de</w:t>
      </w:r>
      <w:r>
        <w:rPr>
          <w:spacing w:val="-2"/>
        </w:rPr>
        <w:t xml:space="preserve"> </w:t>
      </w:r>
      <w:r>
        <w:t>Estudios</w:t>
      </w:r>
      <w:r>
        <w:rPr>
          <w:spacing w:val="-1"/>
        </w:rPr>
        <w:t xml:space="preserve"> </w:t>
      </w:r>
      <w:r>
        <w:t>de</w:t>
      </w:r>
      <w:r>
        <w:rPr>
          <w:spacing w:val="-2"/>
        </w:rPr>
        <w:t xml:space="preserve"> </w:t>
      </w:r>
      <w:r>
        <w:t>Estado</w:t>
      </w:r>
      <w:r>
        <w:rPr>
          <w:spacing w:val="-2"/>
        </w:rPr>
        <w:t xml:space="preserve"> </w:t>
      </w:r>
      <w:r>
        <w:t>y</w:t>
      </w:r>
      <w:r>
        <w:rPr>
          <w:spacing w:val="-1"/>
        </w:rPr>
        <w:t xml:space="preserve"> </w:t>
      </w:r>
      <w:r>
        <w:t>Sociedad,</w:t>
      </w:r>
      <w:r>
        <w:rPr>
          <w:spacing w:val="-2"/>
        </w:rPr>
        <w:t xml:space="preserve"> </w:t>
      </w:r>
      <w:r>
        <w:t>Buenos</w:t>
      </w:r>
      <w:r>
        <w:rPr>
          <w:spacing w:val="-2"/>
        </w:rPr>
        <w:t xml:space="preserve"> </w:t>
      </w:r>
      <w:r>
        <w:t>Aires,</w:t>
      </w:r>
      <w:r>
        <w:rPr>
          <w:spacing w:val="-1"/>
        </w:rPr>
        <w:t xml:space="preserve"> </w:t>
      </w:r>
      <w:r>
        <w:t>Argentina</w:t>
      </w:r>
      <w:r>
        <w:rPr>
          <w:spacing w:val="-2"/>
        </w:rPr>
        <w:t xml:space="preserve"> </w:t>
      </w:r>
      <w:r>
        <w:t>C1173</w:t>
      </w:r>
      <w:r>
        <w:rPr>
          <w:spacing w:val="-2"/>
        </w:rPr>
        <w:t xml:space="preserve"> </w:t>
      </w:r>
      <w:r>
        <w:rPr>
          <w:spacing w:val="-4"/>
        </w:rPr>
        <w:t>AAA.</w:t>
      </w:r>
    </w:p>
    <w:p w14:paraId="7A6FB1E8" w14:textId="77777777" w:rsidR="00A84015" w:rsidRDefault="00000000">
      <w:pPr>
        <w:pStyle w:val="BodyText"/>
        <w:spacing w:before="276"/>
      </w:pPr>
      <w:r>
        <w:rPr>
          <w:vertAlign w:val="superscript"/>
        </w:rPr>
        <w:t>2</w:t>
      </w:r>
      <w:r>
        <w:rPr>
          <w:spacing w:val="-2"/>
        </w:rPr>
        <w:t xml:space="preserve"> </w:t>
      </w:r>
      <w:r>
        <w:t>Institute</w:t>
      </w:r>
      <w:r>
        <w:rPr>
          <w:spacing w:val="-1"/>
        </w:rPr>
        <w:t xml:space="preserve"> </w:t>
      </w:r>
      <w:r>
        <w:t>for Social</w:t>
      </w:r>
      <w:r>
        <w:rPr>
          <w:spacing w:val="-1"/>
        </w:rPr>
        <w:t xml:space="preserve"> </w:t>
      </w:r>
      <w:r>
        <w:t>Marketing and</w:t>
      </w:r>
      <w:r>
        <w:rPr>
          <w:spacing w:val="-1"/>
        </w:rPr>
        <w:t xml:space="preserve"> </w:t>
      </w:r>
      <w:r>
        <w:t>Health, University</w:t>
      </w:r>
      <w:r>
        <w:rPr>
          <w:spacing w:val="-1"/>
        </w:rPr>
        <w:t xml:space="preserve"> </w:t>
      </w:r>
      <w:r>
        <w:t>of Stirling,</w:t>
      </w:r>
      <w:r>
        <w:rPr>
          <w:spacing w:val="-1"/>
        </w:rPr>
        <w:t xml:space="preserve"> </w:t>
      </w:r>
      <w:r>
        <w:t>Scotland FK9</w:t>
      </w:r>
      <w:r>
        <w:rPr>
          <w:spacing w:val="-1"/>
        </w:rPr>
        <w:t xml:space="preserve"> </w:t>
      </w:r>
      <w:r>
        <w:rPr>
          <w:spacing w:val="-4"/>
        </w:rPr>
        <w:t>4LA.</w:t>
      </w:r>
    </w:p>
    <w:p w14:paraId="2A09124F" w14:textId="77777777" w:rsidR="00A84015" w:rsidRDefault="00A84015">
      <w:pPr>
        <w:pStyle w:val="BodyText"/>
        <w:ind w:left="0"/>
      </w:pPr>
    </w:p>
    <w:p w14:paraId="39103272" w14:textId="77777777" w:rsidR="00A84015" w:rsidRDefault="00A84015">
      <w:pPr>
        <w:pStyle w:val="BodyText"/>
        <w:spacing w:before="275"/>
        <w:ind w:left="0"/>
      </w:pPr>
    </w:p>
    <w:p w14:paraId="3D6C1FC6" w14:textId="77777777" w:rsidR="00A84015" w:rsidRDefault="00000000">
      <w:pPr>
        <w:pStyle w:val="Heading2"/>
        <w:spacing w:before="1"/>
      </w:pPr>
      <w:r>
        <w:t>Corresponding</w:t>
      </w:r>
      <w:r>
        <w:rPr>
          <w:spacing w:val="-5"/>
        </w:rPr>
        <w:t xml:space="preserve"> </w:t>
      </w:r>
      <w:r>
        <w:rPr>
          <w:spacing w:val="-2"/>
        </w:rPr>
        <w:t>author</w:t>
      </w:r>
    </w:p>
    <w:p w14:paraId="780BB908" w14:textId="77777777" w:rsidR="00A84015" w:rsidRDefault="00000000">
      <w:pPr>
        <w:pStyle w:val="BodyText"/>
        <w:spacing w:before="276" w:line="480" w:lineRule="auto"/>
        <w:ind w:right="1086"/>
      </w:pPr>
      <w:r>
        <w:t>Raúl</w:t>
      </w:r>
      <w:r>
        <w:rPr>
          <w:spacing w:val="-4"/>
        </w:rPr>
        <w:t xml:space="preserve"> </w:t>
      </w:r>
      <w:r>
        <w:t>Mejia,</w:t>
      </w:r>
      <w:r>
        <w:rPr>
          <w:spacing w:val="-4"/>
        </w:rPr>
        <w:t xml:space="preserve"> </w:t>
      </w:r>
      <w:r>
        <w:t>Centro</w:t>
      </w:r>
      <w:r>
        <w:rPr>
          <w:spacing w:val="-4"/>
        </w:rPr>
        <w:t xml:space="preserve"> </w:t>
      </w:r>
      <w:r>
        <w:t>de</w:t>
      </w:r>
      <w:r>
        <w:rPr>
          <w:spacing w:val="-4"/>
        </w:rPr>
        <w:t xml:space="preserve"> </w:t>
      </w:r>
      <w:r>
        <w:t>Estudios</w:t>
      </w:r>
      <w:r>
        <w:rPr>
          <w:spacing w:val="-4"/>
        </w:rPr>
        <w:t xml:space="preserve"> </w:t>
      </w:r>
      <w:r>
        <w:t>de</w:t>
      </w:r>
      <w:r>
        <w:rPr>
          <w:spacing w:val="-4"/>
        </w:rPr>
        <w:t xml:space="preserve"> </w:t>
      </w:r>
      <w:r>
        <w:t>Estado</w:t>
      </w:r>
      <w:r>
        <w:rPr>
          <w:spacing w:val="-4"/>
        </w:rPr>
        <w:t xml:space="preserve"> </w:t>
      </w:r>
      <w:r>
        <w:t>y</w:t>
      </w:r>
      <w:r>
        <w:rPr>
          <w:spacing w:val="-4"/>
        </w:rPr>
        <w:t xml:space="preserve"> </w:t>
      </w:r>
      <w:r>
        <w:t>Sociedad,</w:t>
      </w:r>
      <w:r>
        <w:rPr>
          <w:spacing w:val="-4"/>
        </w:rPr>
        <w:t xml:space="preserve"> </w:t>
      </w:r>
      <w:r>
        <w:t>Buenos</w:t>
      </w:r>
      <w:r>
        <w:rPr>
          <w:spacing w:val="-4"/>
        </w:rPr>
        <w:t xml:space="preserve"> </w:t>
      </w:r>
      <w:r>
        <w:t>Aires,</w:t>
      </w:r>
      <w:r>
        <w:rPr>
          <w:spacing w:val="-4"/>
        </w:rPr>
        <w:t xml:space="preserve"> </w:t>
      </w:r>
      <w:r>
        <w:t>Argentina</w:t>
      </w:r>
      <w:r>
        <w:rPr>
          <w:spacing w:val="-4"/>
        </w:rPr>
        <w:t xml:space="preserve"> </w:t>
      </w:r>
      <w:r>
        <w:t>C1173</w:t>
      </w:r>
      <w:r>
        <w:rPr>
          <w:spacing w:val="-4"/>
        </w:rPr>
        <w:t xml:space="preserve"> </w:t>
      </w:r>
      <w:r>
        <w:t xml:space="preserve">AAA. </w:t>
      </w:r>
      <w:hyperlink r:id="rId5">
        <w:r>
          <w:rPr>
            <w:color w:val="0000FF"/>
            <w:u w:val="thick" w:color="0000FF"/>
          </w:rPr>
          <w:t>raulmejia@cedes.org</w:t>
        </w:r>
      </w:hyperlink>
      <w:r>
        <w:rPr>
          <w:color w:val="0000FF"/>
        </w:rPr>
        <w:t xml:space="preserve"> </w:t>
      </w:r>
      <w:r>
        <w:t>+54 11 4865 1707</w:t>
      </w:r>
    </w:p>
    <w:p w14:paraId="74C65A65" w14:textId="77777777" w:rsidR="00A84015" w:rsidRDefault="00A84015">
      <w:pPr>
        <w:pStyle w:val="BodyText"/>
        <w:spacing w:line="480" w:lineRule="auto"/>
        <w:sectPr w:rsidR="00A84015">
          <w:type w:val="continuous"/>
          <w:pgSz w:w="11920" w:h="16840"/>
          <w:pgMar w:top="1380" w:right="141" w:bottom="280" w:left="141" w:header="720" w:footer="720" w:gutter="0"/>
          <w:cols w:space="720"/>
        </w:sectPr>
      </w:pPr>
    </w:p>
    <w:p w14:paraId="7886C382" w14:textId="77777777" w:rsidR="00A84015" w:rsidRDefault="00000000">
      <w:pPr>
        <w:pStyle w:val="Heading2"/>
        <w:spacing w:before="60"/>
      </w:pPr>
      <w:r>
        <w:rPr>
          <w:spacing w:val="-2"/>
        </w:rPr>
        <w:lastRenderedPageBreak/>
        <w:t>Abstract</w:t>
      </w:r>
    </w:p>
    <w:p w14:paraId="650744F1" w14:textId="77777777" w:rsidR="00A84015" w:rsidRDefault="00000000">
      <w:pPr>
        <w:pStyle w:val="BodyText"/>
        <w:spacing w:before="276" w:line="480" w:lineRule="auto"/>
        <w:ind w:right="1313"/>
        <w:jc w:val="both"/>
      </w:pPr>
      <w:r>
        <w:rPr>
          <w:b/>
        </w:rPr>
        <w:t xml:space="preserve">Introduction: </w:t>
      </w:r>
      <w:r>
        <w:t>While roll-your-own tobacco consumption is highest in Europe, increased sales are reported in Latin</w:t>
      </w:r>
      <w:r>
        <w:rPr>
          <w:spacing w:val="-4"/>
        </w:rPr>
        <w:t xml:space="preserve"> </w:t>
      </w:r>
      <w:r>
        <w:t>America.</w:t>
      </w:r>
      <w:r>
        <w:rPr>
          <w:spacing w:val="-4"/>
        </w:rPr>
        <w:t xml:space="preserve"> </w:t>
      </w:r>
      <w:r>
        <w:t>We</w:t>
      </w:r>
      <w:r>
        <w:rPr>
          <w:spacing w:val="-4"/>
        </w:rPr>
        <w:t xml:space="preserve"> </w:t>
      </w:r>
      <w:r>
        <w:t>are</w:t>
      </w:r>
      <w:r>
        <w:rPr>
          <w:spacing w:val="-4"/>
        </w:rPr>
        <w:t xml:space="preserve"> </w:t>
      </w:r>
      <w:r>
        <w:t>unaware</w:t>
      </w:r>
      <w:r>
        <w:rPr>
          <w:spacing w:val="-4"/>
        </w:rPr>
        <w:t xml:space="preserve"> </w:t>
      </w:r>
      <w:r>
        <w:t>of</w:t>
      </w:r>
      <w:r>
        <w:rPr>
          <w:spacing w:val="-4"/>
        </w:rPr>
        <w:t xml:space="preserve"> </w:t>
      </w:r>
      <w:r>
        <w:t>any</w:t>
      </w:r>
      <w:r>
        <w:rPr>
          <w:spacing w:val="-4"/>
        </w:rPr>
        <w:t xml:space="preserve"> </w:t>
      </w:r>
      <w:r>
        <w:t>research</w:t>
      </w:r>
      <w:r>
        <w:rPr>
          <w:spacing w:val="-4"/>
        </w:rPr>
        <w:t xml:space="preserve"> </w:t>
      </w:r>
      <w:r>
        <w:t>that</w:t>
      </w:r>
      <w:r>
        <w:rPr>
          <w:spacing w:val="-4"/>
        </w:rPr>
        <w:t xml:space="preserve"> </w:t>
      </w:r>
      <w:r>
        <w:t>explores</w:t>
      </w:r>
      <w:r>
        <w:rPr>
          <w:spacing w:val="-4"/>
        </w:rPr>
        <w:t xml:space="preserve"> </w:t>
      </w:r>
      <w:r>
        <w:t>the</w:t>
      </w:r>
      <w:r>
        <w:rPr>
          <w:spacing w:val="-4"/>
        </w:rPr>
        <w:t xml:space="preserve"> </w:t>
      </w:r>
      <w:r>
        <w:t>display and advertising of roll-your-own tobacco in this region.</w:t>
      </w:r>
    </w:p>
    <w:p w14:paraId="62ECAEFC" w14:textId="77777777" w:rsidR="00A84015" w:rsidRDefault="00000000">
      <w:pPr>
        <w:pStyle w:val="BodyText"/>
        <w:spacing w:line="480" w:lineRule="auto"/>
        <w:ind w:right="1313"/>
        <w:jc w:val="both"/>
      </w:pPr>
      <w:r>
        <w:rPr>
          <w:b/>
        </w:rPr>
        <w:t xml:space="preserve">Methods: </w:t>
      </w:r>
      <w:r>
        <w:t>An observational study was conducted</w:t>
      </w:r>
      <w:r>
        <w:rPr>
          <w:spacing w:val="-4"/>
        </w:rPr>
        <w:t xml:space="preserve"> </w:t>
      </w:r>
      <w:r>
        <w:t>at</w:t>
      </w:r>
      <w:r>
        <w:rPr>
          <w:spacing w:val="-4"/>
        </w:rPr>
        <w:t xml:space="preserve"> </w:t>
      </w:r>
      <w:r>
        <w:t>tobacco-selling</w:t>
      </w:r>
      <w:r>
        <w:rPr>
          <w:spacing w:val="-4"/>
        </w:rPr>
        <w:t xml:space="preserve"> </w:t>
      </w:r>
      <w:r>
        <w:t>points-of-sale</w:t>
      </w:r>
      <w:r>
        <w:rPr>
          <w:spacing w:val="-4"/>
        </w:rPr>
        <w:t xml:space="preserve"> </w:t>
      </w:r>
      <w:r>
        <w:t>(N=2,081) near schools in cities in Argentina, Guatemala, Mexico, and Peru between April and July 2023. In</w:t>
      </w:r>
      <w:r>
        <w:rPr>
          <w:spacing w:val="-2"/>
        </w:rPr>
        <w:t xml:space="preserve"> </w:t>
      </w:r>
      <w:r>
        <w:t>each</w:t>
      </w:r>
      <w:r>
        <w:rPr>
          <w:spacing w:val="-2"/>
        </w:rPr>
        <w:t xml:space="preserve"> </w:t>
      </w:r>
      <w:r>
        <w:t>of</w:t>
      </w:r>
      <w:r>
        <w:rPr>
          <w:spacing w:val="-2"/>
        </w:rPr>
        <w:t xml:space="preserve"> </w:t>
      </w:r>
      <w:r>
        <w:t>the</w:t>
      </w:r>
      <w:r>
        <w:rPr>
          <w:spacing w:val="-2"/>
        </w:rPr>
        <w:t xml:space="preserve"> </w:t>
      </w:r>
      <w:r>
        <w:t>16</w:t>
      </w:r>
      <w:r>
        <w:rPr>
          <w:spacing w:val="-2"/>
        </w:rPr>
        <w:t xml:space="preserve"> </w:t>
      </w:r>
      <w:r>
        <w:t>cities</w:t>
      </w:r>
      <w:r>
        <w:rPr>
          <w:spacing w:val="-2"/>
        </w:rPr>
        <w:t xml:space="preserve"> </w:t>
      </w:r>
      <w:r>
        <w:t>(four</w:t>
      </w:r>
      <w:r>
        <w:rPr>
          <w:spacing w:val="-2"/>
        </w:rPr>
        <w:t xml:space="preserve"> </w:t>
      </w:r>
      <w:r>
        <w:t>per</w:t>
      </w:r>
      <w:r>
        <w:rPr>
          <w:spacing w:val="-2"/>
        </w:rPr>
        <w:t xml:space="preserve"> </w:t>
      </w:r>
      <w:r>
        <w:t>country)</w:t>
      </w:r>
      <w:r>
        <w:rPr>
          <w:spacing w:val="-2"/>
        </w:rPr>
        <w:t xml:space="preserve"> </w:t>
      </w:r>
      <w:r>
        <w:t>schools</w:t>
      </w:r>
      <w:r>
        <w:rPr>
          <w:spacing w:val="-2"/>
        </w:rPr>
        <w:t xml:space="preserve"> </w:t>
      </w:r>
      <w:r>
        <w:t>were</w:t>
      </w:r>
      <w:r>
        <w:rPr>
          <w:spacing w:val="-2"/>
        </w:rPr>
        <w:t xml:space="preserve"> </w:t>
      </w:r>
      <w:r>
        <w:t>randomly</w:t>
      </w:r>
      <w:r>
        <w:rPr>
          <w:spacing w:val="-2"/>
        </w:rPr>
        <w:t xml:space="preserve"> </w:t>
      </w:r>
      <w:r>
        <w:t>selected</w:t>
      </w:r>
      <w:r>
        <w:rPr>
          <w:spacing w:val="-2"/>
        </w:rPr>
        <w:t xml:space="preserve"> </w:t>
      </w:r>
      <w:r>
        <w:t>and</w:t>
      </w:r>
      <w:r>
        <w:rPr>
          <w:spacing w:val="-2"/>
        </w:rPr>
        <w:t xml:space="preserve"> </w:t>
      </w:r>
      <w:r>
        <w:t>stratified according</w:t>
      </w:r>
      <w:r>
        <w:rPr>
          <w:spacing w:val="80"/>
        </w:rPr>
        <w:t xml:space="preserve"> </w:t>
      </w:r>
      <w:r>
        <w:t>to</w:t>
      </w:r>
      <w:r>
        <w:rPr>
          <w:spacing w:val="80"/>
        </w:rPr>
        <w:t xml:space="preserve"> </w:t>
      </w:r>
      <w:r>
        <w:t>neighbourhood</w:t>
      </w:r>
      <w:r>
        <w:rPr>
          <w:spacing w:val="80"/>
        </w:rPr>
        <w:t xml:space="preserve"> </w:t>
      </w:r>
      <w:r>
        <w:t>socioeconomic</w:t>
      </w:r>
      <w:r>
        <w:rPr>
          <w:spacing w:val="80"/>
        </w:rPr>
        <w:t xml:space="preserve"> </w:t>
      </w:r>
      <w:r>
        <w:t>status,</w:t>
      </w:r>
      <w:r>
        <w:rPr>
          <w:spacing w:val="80"/>
        </w:rPr>
        <w:t xml:space="preserve"> </w:t>
      </w:r>
      <w:r>
        <w:t>with</w:t>
      </w:r>
      <w:r>
        <w:rPr>
          <w:spacing w:val="80"/>
        </w:rPr>
        <w:t xml:space="preserve"> </w:t>
      </w:r>
      <w:r>
        <w:t>all</w:t>
      </w:r>
      <w:r>
        <w:rPr>
          <w:spacing w:val="80"/>
        </w:rPr>
        <w:t xml:space="preserve"> </w:t>
      </w:r>
      <w:r>
        <w:t>points-of-sale</w:t>
      </w:r>
      <w:r>
        <w:rPr>
          <w:spacing w:val="80"/>
        </w:rPr>
        <w:t xml:space="preserve"> </w:t>
      </w:r>
      <w:r>
        <w:t>located</w:t>
      </w:r>
      <w:r>
        <w:rPr>
          <w:spacing w:val="80"/>
        </w:rPr>
        <w:t xml:space="preserve"> </w:t>
      </w:r>
      <w:r>
        <w:t>in pre-established</w:t>
      </w:r>
      <w:r>
        <w:rPr>
          <w:spacing w:val="-2"/>
        </w:rPr>
        <w:t xml:space="preserve"> </w:t>
      </w:r>
      <w:r>
        <w:t>routes</w:t>
      </w:r>
      <w:r>
        <w:rPr>
          <w:spacing w:val="-2"/>
        </w:rPr>
        <w:t xml:space="preserve"> </w:t>
      </w:r>
      <w:r>
        <w:t>around</w:t>
      </w:r>
      <w:r>
        <w:rPr>
          <w:spacing w:val="-2"/>
        </w:rPr>
        <w:t xml:space="preserve"> </w:t>
      </w:r>
      <w:r>
        <w:t>schools</w:t>
      </w:r>
      <w:r>
        <w:rPr>
          <w:spacing w:val="-2"/>
        </w:rPr>
        <w:t xml:space="preserve"> </w:t>
      </w:r>
      <w:r>
        <w:t>observed.</w:t>
      </w:r>
      <w:r>
        <w:rPr>
          <w:spacing w:val="-2"/>
        </w:rPr>
        <w:t xml:space="preserve"> </w:t>
      </w:r>
      <w:r>
        <w:t>A</w:t>
      </w:r>
      <w:r>
        <w:rPr>
          <w:spacing w:val="-2"/>
        </w:rPr>
        <w:t xml:space="preserve"> </w:t>
      </w:r>
      <w:r>
        <w:t>codebook</w:t>
      </w:r>
      <w:r>
        <w:rPr>
          <w:spacing w:val="-2"/>
        </w:rPr>
        <w:t xml:space="preserve"> </w:t>
      </w:r>
      <w:r>
        <w:t>was</w:t>
      </w:r>
      <w:r>
        <w:rPr>
          <w:spacing w:val="-2"/>
        </w:rPr>
        <w:t xml:space="preserve"> </w:t>
      </w:r>
      <w:r>
        <w:t>used</w:t>
      </w:r>
      <w:r>
        <w:rPr>
          <w:spacing w:val="-2"/>
        </w:rPr>
        <w:t xml:space="preserve"> </w:t>
      </w:r>
      <w:r>
        <w:t>to</w:t>
      </w:r>
      <w:r>
        <w:rPr>
          <w:spacing w:val="-2"/>
        </w:rPr>
        <w:t xml:space="preserve"> </w:t>
      </w:r>
      <w:r>
        <w:t>assess</w:t>
      </w:r>
      <w:r>
        <w:rPr>
          <w:spacing w:val="-2"/>
        </w:rPr>
        <w:t xml:space="preserve"> </w:t>
      </w:r>
      <w:r>
        <w:t>the</w:t>
      </w:r>
      <w:r>
        <w:rPr>
          <w:spacing w:val="-2"/>
        </w:rPr>
        <w:t xml:space="preserve"> </w:t>
      </w:r>
      <w:r>
        <w:t>display</w:t>
      </w:r>
      <w:r>
        <w:rPr>
          <w:spacing w:val="-2"/>
        </w:rPr>
        <w:t xml:space="preserve"> </w:t>
      </w:r>
      <w:r>
        <w:t>of roll-your-own tobacco and accessories (i.e. rolling papers and filters) and the presence of advertising</w:t>
      </w:r>
      <w:r>
        <w:rPr>
          <w:spacing w:val="-3"/>
        </w:rPr>
        <w:t xml:space="preserve"> </w:t>
      </w:r>
      <w:r>
        <w:t>for</w:t>
      </w:r>
      <w:r>
        <w:rPr>
          <w:spacing w:val="-3"/>
        </w:rPr>
        <w:t xml:space="preserve"> </w:t>
      </w:r>
      <w:r>
        <w:t>these</w:t>
      </w:r>
      <w:r>
        <w:rPr>
          <w:spacing w:val="-3"/>
        </w:rPr>
        <w:t xml:space="preserve"> </w:t>
      </w:r>
      <w:r>
        <w:t>products.</w:t>
      </w:r>
      <w:r>
        <w:rPr>
          <w:spacing w:val="-3"/>
        </w:rPr>
        <w:t xml:space="preserve"> </w:t>
      </w:r>
      <w:r>
        <w:t>Logistic</w:t>
      </w:r>
      <w:r>
        <w:rPr>
          <w:spacing w:val="-3"/>
        </w:rPr>
        <w:t xml:space="preserve"> </w:t>
      </w:r>
      <w:r>
        <w:t>regressions</w:t>
      </w:r>
      <w:r>
        <w:rPr>
          <w:spacing w:val="-3"/>
        </w:rPr>
        <w:t xml:space="preserve"> </w:t>
      </w:r>
      <w:r>
        <w:t>were</w:t>
      </w:r>
      <w:r>
        <w:rPr>
          <w:spacing w:val="-3"/>
        </w:rPr>
        <w:t xml:space="preserve"> </w:t>
      </w:r>
      <w:r>
        <w:t>employed</w:t>
      </w:r>
      <w:r>
        <w:rPr>
          <w:spacing w:val="-3"/>
        </w:rPr>
        <w:t xml:space="preserve"> </w:t>
      </w:r>
      <w:r>
        <w:t>to</w:t>
      </w:r>
      <w:r>
        <w:rPr>
          <w:spacing w:val="-3"/>
        </w:rPr>
        <w:t xml:space="preserve"> </w:t>
      </w:r>
      <w:r>
        <w:t>estimate</w:t>
      </w:r>
      <w:r>
        <w:rPr>
          <w:spacing w:val="-3"/>
        </w:rPr>
        <w:t xml:space="preserve"> </w:t>
      </w:r>
      <w:r>
        <w:t>the</w:t>
      </w:r>
      <w:r>
        <w:rPr>
          <w:spacing w:val="-3"/>
        </w:rPr>
        <w:t xml:space="preserve"> </w:t>
      </w:r>
      <w:r>
        <w:t>association between the display of roll-your-own tobacco and accessories</w:t>
      </w:r>
      <w:r>
        <w:rPr>
          <w:spacing w:val="-3"/>
        </w:rPr>
        <w:t xml:space="preserve"> </w:t>
      </w:r>
      <w:r>
        <w:t>(defined</w:t>
      </w:r>
      <w:r>
        <w:rPr>
          <w:spacing w:val="-3"/>
        </w:rPr>
        <w:t xml:space="preserve"> </w:t>
      </w:r>
      <w:r>
        <w:t>as</w:t>
      </w:r>
      <w:r>
        <w:rPr>
          <w:spacing w:val="-3"/>
        </w:rPr>
        <w:t xml:space="preserve"> </w:t>
      </w:r>
      <w:r>
        <w:t>being</w:t>
      </w:r>
      <w:r>
        <w:rPr>
          <w:spacing w:val="-3"/>
        </w:rPr>
        <w:t xml:space="preserve"> </w:t>
      </w:r>
      <w:r>
        <w:t>visible</w:t>
      </w:r>
      <w:r>
        <w:rPr>
          <w:spacing w:val="-3"/>
        </w:rPr>
        <w:t xml:space="preserve"> </w:t>
      </w:r>
      <w:r>
        <w:t>at</w:t>
      </w:r>
      <w:r>
        <w:rPr>
          <w:spacing w:val="-3"/>
        </w:rPr>
        <w:t xml:space="preserve"> </w:t>
      </w:r>
      <w:r>
        <w:t>the point-of-sale) and type of point-of-sale, neighbourhood socioeconomic status, and city.</w:t>
      </w:r>
    </w:p>
    <w:p w14:paraId="2D01E6CB" w14:textId="77777777" w:rsidR="00A84015" w:rsidRDefault="00000000">
      <w:pPr>
        <w:pStyle w:val="BodyText"/>
        <w:spacing w:line="480" w:lineRule="auto"/>
        <w:ind w:right="1311"/>
        <w:jc w:val="both"/>
      </w:pPr>
      <w:r>
        <w:rPr>
          <w:b/>
        </w:rPr>
        <w:t xml:space="preserve">Results: </w:t>
      </w:r>
      <w:r>
        <w:t>Apart from a</w:t>
      </w:r>
      <w:r>
        <w:rPr>
          <w:spacing w:val="-3"/>
        </w:rPr>
        <w:t xml:space="preserve"> </w:t>
      </w:r>
      <w:r>
        <w:t>single</w:t>
      </w:r>
      <w:r>
        <w:rPr>
          <w:spacing w:val="-3"/>
        </w:rPr>
        <w:t xml:space="preserve"> </w:t>
      </w:r>
      <w:r>
        <w:t>store</w:t>
      </w:r>
      <w:r>
        <w:rPr>
          <w:spacing w:val="-3"/>
        </w:rPr>
        <w:t xml:space="preserve"> </w:t>
      </w:r>
      <w:r>
        <w:t>in</w:t>
      </w:r>
      <w:r>
        <w:rPr>
          <w:spacing w:val="-3"/>
        </w:rPr>
        <w:t xml:space="preserve"> </w:t>
      </w:r>
      <w:r>
        <w:t>Guatemala,</w:t>
      </w:r>
      <w:r>
        <w:rPr>
          <w:spacing w:val="-3"/>
        </w:rPr>
        <w:t xml:space="preserve"> </w:t>
      </w:r>
      <w:r>
        <w:t>roll-your-own</w:t>
      </w:r>
      <w:r>
        <w:rPr>
          <w:spacing w:val="-3"/>
        </w:rPr>
        <w:t xml:space="preserve"> </w:t>
      </w:r>
      <w:r>
        <w:t>tobacco</w:t>
      </w:r>
      <w:r>
        <w:rPr>
          <w:spacing w:val="-3"/>
        </w:rPr>
        <w:t xml:space="preserve"> </w:t>
      </w:r>
      <w:r>
        <w:t>and</w:t>
      </w:r>
      <w:r>
        <w:rPr>
          <w:spacing w:val="-3"/>
        </w:rPr>
        <w:t xml:space="preserve"> </w:t>
      </w:r>
      <w:r>
        <w:t>accessories</w:t>
      </w:r>
      <w:r>
        <w:rPr>
          <w:spacing w:val="-3"/>
        </w:rPr>
        <w:t xml:space="preserve"> </w:t>
      </w:r>
      <w:r>
        <w:t>were only observed in Argentina, at 110 (21.5%) points-of-sale. In Argentina, roll-your-own tobacco and accessories were more likely to be</w:t>
      </w:r>
      <w:r>
        <w:rPr>
          <w:spacing w:val="-3"/>
        </w:rPr>
        <w:t xml:space="preserve"> </w:t>
      </w:r>
      <w:r>
        <w:t>displayed</w:t>
      </w:r>
      <w:r>
        <w:rPr>
          <w:spacing w:val="-3"/>
        </w:rPr>
        <w:t xml:space="preserve"> </w:t>
      </w:r>
      <w:r>
        <w:t>in</w:t>
      </w:r>
      <w:r>
        <w:rPr>
          <w:spacing w:val="-3"/>
        </w:rPr>
        <w:t xml:space="preserve"> </w:t>
      </w:r>
      <w:r>
        <w:t>convenience</w:t>
      </w:r>
      <w:r>
        <w:rPr>
          <w:spacing w:val="-3"/>
        </w:rPr>
        <w:t xml:space="preserve"> </w:t>
      </w:r>
      <w:r>
        <w:t>and</w:t>
      </w:r>
      <w:r>
        <w:rPr>
          <w:spacing w:val="-3"/>
        </w:rPr>
        <w:t xml:space="preserve"> </w:t>
      </w:r>
      <w:r>
        <w:t>neighbourhood stores compared to kiosks, in high and middle socioeconomic neighbourhoods compared to low</w:t>
      </w:r>
      <w:r>
        <w:rPr>
          <w:spacing w:val="-3"/>
        </w:rPr>
        <w:t xml:space="preserve"> </w:t>
      </w:r>
      <w:r>
        <w:t>socioeconomic</w:t>
      </w:r>
      <w:r>
        <w:rPr>
          <w:spacing w:val="-3"/>
        </w:rPr>
        <w:t xml:space="preserve"> </w:t>
      </w:r>
      <w:r>
        <w:t>neighbourhoods,</w:t>
      </w:r>
      <w:r>
        <w:rPr>
          <w:spacing w:val="-3"/>
        </w:rPr>
        <w:t xml:space="preserve"> </w:t>
      </w:r>
      <w:r>
        <w:t>and</w:t>
      </w:r>
      <w:r>
        <w:rPr>
          <w:spacing w:val="-3"/>
        </w:rPr>
        <w:t xml:space="preserve"> </w:t>
      </w:r>
      <w:r>
        <w:t>in</w:t>
      </w:r>
      <w:r>
        <w:rPr>
          <w:spacing w:val="-3"/>
        </w:rPr>
        <w:t xml:space="preserve"> </w:t>
      </w:r>
      <w:r>
        <w:t>Cordoba</w:t>
      </w:r>
      <w:r>
        <w:rPr>
          <w:spacing w:val="-3"/>
        </w:rPr>
        <w:t xml:space="preserve"> </w:t>
      </w:r>
      <w:r>
        <w:t>and</w:t>
      </w:r>
      <w:r>
        <w:rPr>
          <w:spacing w:val="-3"/>
        </w:rPr>
        <w:t xml:space="preserve"> </w:t>
      </w:r>
      <w:r>
        <w:t>Santa</w:t>
      </w:r>
      <w:r>
        <w:rPr>
          <w:spacing w:val="-3"/>
        </w:rPr>
        <w:t xml:space="preserve"> </w:t>
      </w:r>
      <w:r>
        <w:t>Rosa</w:t>
      </w:r>
      <w:r>
        <w:rPr>
          <w:spacing w:val="-3"/>
        </w:rPr>
        <w:t xml:space="preserve"> </w:t>
      </w:r>
      <w:r>
        <w:t>than</w:t>
      </w:r>
      <w:r>
        <w:rPr>
          <w:spacing w:val="-3"/>
        </w:rPr>
        <w:t xml:space="preserve"> </w:t>
      </w:r>
      <w:r>
        <w:t>in</w:t>
      </w:r>
      <w:r>
        <w:rPr>
          <w:spacing w:val="-3"/>
        </w:rPr>
        <w:t xml:space="preserve"> </w:t>
      </w:r>
      <w:r>
        <w:t>Quilmes</w:t>
      </w:r>
      <w:r>
        <w:rPr>
          <w:spacing w:val="-3"/>
        </w:rPr>
        <w:t xml:space="preserve"> </w:t>
      </w:r>
      <w:r>
        <w:t>and</w:t>
      </w:r>
      <w:r>
        <w:rPr>
          <w:spacing w:val="-3"/>
        </w:rPr>
        <w:t xml:space="preserve"> </w:t>
      </w:r>
      <w:r>
        <w:t xml:space="preserve">San Salvador de Jujuy. Advertising for RYO tobacco (1.8%) and accessories (3.1%) at POS was </w:t>
      </w:r>
      <w:r>
        <w:rPr>
          <w:spacing w:val="-2"/>
        </w:rPr>
        <w:t>uncommon.</w:t>
      </w:r>
    </w:p>
    <w:p w14:paraId="3CFFCD24" w14:textId="77777777" w:rsidR="00A84015" w:rsidRDefault="00000000">
      <w:pPr>
        <w:pStyle w:val="BodyText"/>
        <w:spacing w:line="480" w:lineRule="auto"/>
        <w:ind w:right="1313"/>
        <w:jc w:val="both"/>
      </w:pPr>
      <w:r>
        <w:rPr>
          <w:b/>
        </w:rPr>
        <w:t xml:space="preserve">Conclusion: </w:t>
      </w:r>
      <w:r>
        <w:t xml:space="preserve">This study provides insight into roll-your-own tobacco penetration in multiple Latin American countries, finding that the display of this product is largely restricted to </w:t>
      </w:r>
      <w:r>
        <w:rPr>
          <w:spacing w:val="-2"/>
        </w:rPr>
        <w:t>Argentina.</w:t>
      </w:r>
    </w:p>
    <w:p w14:paraId="3C6DBE49"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5929D90D" w14:textId="77777777" w:rsidR="00A84015" w:rsidRDefault="00000000">
      <w:pPr>
        <w:pStyle w:val="Heading2"/>
        <w:spacing w:before="60"/>
      </w:pPr>
      <w:r>
        <w:rPr>
          <w:spacing w:val="-2"/>
        </w:rPr>
        <w:lastRenderedPageBreak/>
        <w:t>Implications</w:t>
      </w:r>
    </w:p>
    <w:p w14:paraId="35789C18" w14:textId="77777777" w:rsidR="00A84015" w:rsidRDefault="00000000">
      <w:pPr>
        <w:pStyle w:val="BodyText"/>
        <w:spacing w:before="276" w:line="480" w:lineRule="auto"/>
        <w:ind w:right="1312"/>
        <w:jc w:val="both"/>
      </w:pPr>
      <w:r>
        <w:t>Increasing sales of roll-your-own tobacco have been reported in</w:t>
      </w:r>
      <w:r>
        <w:rPr>
          <w:spacing w:val="-3"/>
        </w:rPr>
        <w:t xml:space="preserve"> </w:t>
      </w:r>
      <w:r>
        <w:t>Latin</w:t>
      </w:r>
      <w:r>
        <w:rPr>
          <w:spacing w:val="-3"/>
        </w:rPr>
        <w:t xml:space="preserve"> </w:t>
      </w:r>
      <w:r>
        <w:t>America.</w:t>
      </w:r>
      <w:r>
        <w:rPr>
          <w:spacing w:val="-3"/>
        </w:rPr>
        <w:t xml:space="preserve"> </w:t>
      </w:r>
      <w:r>
        <w:t>Despite</w:t>
      </w:r>
      <w:r>
        <w:rPr>
          <w:spacing w:val="-3"/>
        </w:rPr>
        <w:t xml:space="preserve"> </w:t>
      </w:r>
      <w:r>
        <w:t>this, there</w:t>
      </w:r>
      <w:r>
        <w:rPr>
          <w:spacing w:val="-3"/>
        </w:rPr>
        <w:t xml:space="preserve"> </w:t>
      </w:r>
      <w:r>
        <w:t>is</w:t>
      </w:r>
      <w:r>
        <w:rPr>
          <w:spacing w:val="-3"/>
        </w:rPr>
        <w:t xml:space="preserve"> </w:t>
      </w:r>
      <w:r>
        <w:t>limited</w:t>
      </w:r>
      <w:r>
        <w:rPr>
          <w:spacing w:val="-3"/>
        </w:rPr>
        <w:t xml:space="preserve"> </w:t>
      </w:r>
      <w:r>
        <w:t>academic</w:t>
      </w:r>
      <w:r>
        <w:rPr>
          <w:spacing w:val="-3"/>
        </w:rPr>
        <w:t xml:space="preserve"> </w:t>
      </w:r>
      <w:r>
        <w:t>research</w:t>
      </w:r>
      <w:r>
        <w:rPr>
          <w:spacing w:val="-3"/>
        </w:rPr>
        <w:t xml:space="preserve"> </w:t>
      </w:r>
      <w:r>
        <w:t>on</w:t>
      </w:r>
      <w:r>
        <w:rPr>
          <w:spacing w:val="-3"/>
        </w:rPr>
        <w:t xml:space="preserve"> </w:t>
      </w:r>
      <w:r>
        <w:t>the</w:t>
      </w:r>
      <w:r>
        <w:rPr>
          <w:spacing w:val="-3"/>
        </w:rPr>
        <w:t xml:space="preserve"> </w:t>
      </w:r>
      <w:r>
        <w:t>consumption</w:t>
      </w:r>
      <w:r>
        <w:rPr>
          <w:spacing w:val="-3"/>
        </w:rPr>
        <w:t xml:space="preserve"> </w:t>
      </w:r>
      <w:r>
        <w:t>of</w:t>
      </w:r>
      <w:r>
        <w:rPr>
          <w:spacing w:val="-3"/>
        </w:rPr>
        <w:t xml:space="preserve"> </w:t>
      </w:r>
      <w:r>
        <w:t>roll-your-own</w:t>
      </w:r>
      <w:r>
        <w:rPr>
          <w:spacing w:val="-3"/>
        </w:rPr>
        <w:t xml:space="preserve"> </w:t>
      </w:r>
      <w:r>
        <w:t>tobacco</w:t>
      </w:r>
      <w:r>
        <w:rPr>
          <w:spacing w:val="-3"/>
        </w:rPr>
        <w:t xml:space="preserve"> </w:t>
      </w:r>
      <w:r>
        <w:t>in</w:t>
      </w:r>
      <w:r>
        <w:rPr>
          <w:spacing w:val="-3"/>
        </w:rPr>
        <w:t xml:space="preserve"> </w:t>
      </w:r>
      <w:r>
        <w:t>this</w:t>
      </w:r>
      <w:r>
        <w:rPr>
          <w:spacing w:val="-3"/>
        </w:rPr>
        <w:t xml:space="preserve"> </w:t>
      </w:r>
      <w:r>
        <w:t>region and</w:t>
      </w:r>
      <w:r>
        <w:rPr>
          <w:spacing w:val="80"/>
        </w:rPr>
        <w:t xml:space="preserve"> </w:t>
      </w:r>
      <w:r>
        <w:t>no</w:t>
      </w:r>
      <w:r>
        <w:rPr>
          <w:spacing w:val="40"/>
        </w:rPr>
        <w:t xml:space="preserve"> </w:t>
      </w:r>
      <w:r>
        <w:t>research</w:t>
      </w:r>
      <w:r>
        <w:rPr>
          <w:spacing w:val="40"/>
        </w:rPr>
        <w:t xml:space="preserve"> </w:t>
      </w:r>
      <w:r>
        <w:t>on</w:t>
      </w:r>
      <w:r>
        <w:rPr>
          <w:spacing w:val="40"/>
        </w:rPr>
        <w:t xml:space="preserve"> </w:t>
      </w:r>
      <w:r>
        <w:t>its</w:t>
      </w:r>
      <w:r>
        <w:rPr>
          <w:spacing w:val="40"/>
        </w:rPr>
        <w:t xml:space="preserve"> </w:t>
      </w:r>
      <w:r>
        <w:t>presence</w:t>
      </w:r>
      <w:r>
        <w:rPr>
          <w:spacing w:val="40"/>
        </w:rPr>
        <w:t xml:space="preserve"> </w:t>
      </w:r>
      <w:r>
        <w:t>at</w:t>
      </w:r>
      <w:r>
        <w:rPr>
          <w:spacing w:val="40"/>
        </w:rPr>
        <w:t xml:space="preserve"> </w:t>
      </w:r>
      <w:r>
        <w:t>the</w:t>
      </w:r>
      <w:r>
        <w:rPr>
          <w:spacing w:val="40"/>
        </w:rPr>
        <w:t xml:space="preserve"> </w:t>
      </w:r>
      <w:r>
        <w:t>point-of-sale.</w:t>
      </w:r>
      <w:r>
        <w:rPr>
          <w:spacing w:val="40"/>
        </w:rPr>
        <w:t xml:space="preserve"> </w:t>
      </w:r>
      <w:r>
        <w:t>This</w:t>
      </w:r>
      <w:r>
        <w:rPr>
          <w:spacing w:val="40"/>
        </w:rPr>
        <w:t xml:space="preserve"> </w:t>
      </w:r>
      <w:r>
        <w:t>study</w:t>
      </w:r>
      <w:r>
        <w:rPr>
          <w:spacing w:val="40"/>
        </w:rPr>
        <w:t xml:space="preserve"> </w:t>
      </w:r>
      <w:r>
        <w:t>provides</w:t>
      </w:r>
      <w:r>
        <w:rPr>
          <w:spacing w:val="40"/>
        </w:rPr>
        <w:t xml:space="preserve"> </w:t>
      </w:r>
      <w:r>
        <w:t>insight</w:t>
      </w:r>
      <w:r>
        <w:rPr>
          <w:spacing w:val="40"/>
        </w:rPr>
        <w:t xml:space="preserve"> </w:t>
      </w:r>
      <w:r>
        <w:t>into</w:t>
      </w:r>
      <w:r>
        <w:rPr>
          <w:spacing w:val="40"/>
        </w:rPr>
        <w:t xml:space="preserve"> </w:t>
      </w:r>
      <w:r>
        <w:t>roll-your-own tobacco and accessories penetration in Argentina, Guatemala, Mexico and Peru, finding that display of this product at points-of-sale is generally limited to Argentina. Continued monitoring of the display and marketing of this product is needed across these countries. Research in Argentina exploring how roll-your-own tobacco and accessories are perceived by smokers and young people would be of value.</w:t>
      </w:r>
    </w:p>
    <w:p w14:paraId="6F090C6C"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492E84EB" w14:textId="77777777" w:rsidR="00A84015" w:rsidRDefault="00000000">
      <w:pPr>
        <w:pStyle w:val="Heading1"/>
        <w:spacing w:before="60"/>
      </w:pPr>
      <w:r>
        <w:rPr>
          <w:spacing w:val="-2"/>
        </w:rPr>
        <w:lastRenderedPageBreak/>
        <w:t>INTRODUCTION</w:t>
      </w:r>
    </w:p>
    <w:p w14:paraId="18AE049D" w14:textId="77777777" w:rsidR="00A84015" w:rsidRDefault="00000000">
      <w:pPr>
        <w:pStyle w:val="BodyText"/>
        <w:spacing w:before="276" w:line="480" w:lineRule="auto"/>
        <w:ind w:right="1311"/>
        <w:jc w:val="both"/>
      </w:pPr>
      <w:r>
        <w:t>Factory-made cigarettes continue to dominate the global tobacco market, but there has been an</w:t>
      </w:r>
      <w:r>
        <w:rPr>
          <w:spacing w:val="-5"/>
        </w:rPr>
        <w:t xml:space="preserve"> </w:t>
      </w:r>
      <w:r>
        <w:t>increase</w:t>
      </w:r>
      <w:r>
        <w:rPr>
          <w:spacing w:val="-5"/>
        </w:rPr>
        <w:t xml:space="preserve"> </w:t>
      </w:r>
      <w:r>
        <w:t>in</w:t>
      </w:r>
      <w:r>
        <w:rPr>
          <w:spacing w:val="-5"/>
        </w:rPr>
        <w:t xml:space="preserve"> </w:t>
      </w:r>
      <w:r>
        <w:t>the</w:t>
      </w:r>
      <w:r>
        <w:rPr>
          <w:spacing w:val="-5"/>
        </w:rPr>
        <w:t xml:space="preserve"> </w:t>
      </w:r>
      <w:r>
        <w:t>consumption</w:t>
      </w:r>
      <w:r>
        <w:rPr>
          <w:spacing w:val="-5"/>
        </w:rPr>
        <w:t xml:space="preserve"> </w:t>
      </w:r>
      <w:r>
        <w:t>of</w:t>
      </w:r>
      <w:r>
        <w:rPr>
          <w:spacing w:val="-5"/>
        </w:rPr>
        <w:t xml:space="preserve"> </w:t>
      </w:r>
      <w:r>
        <w:t>roll-your-own</w:t>
      </w:r>
      <w:r>
        <w:rPr>
          <w:spacing w:val="-5"/>
        </w:rPr>
        <w:t xml:space="preserve"> </w:t>
      </w:r>
      <w:r>
        <w:t>(RYO)</w:t>
      </w:r>
      <w:r>
        <w:rPr>
          <w:spacing w:val="-5"/>
        </w:rPr>
        <w:t xml:space="preserve"> </w:t>
      </w:r>
      <w:r>
        <w:t>tobacco</w:t>
      </w:r>
      <w:r>
        <w:rPr>
          <w:vertAlign w:val="superscript"/>
        </w:rPr>
        <w:t>1</w:t>
      </w:r>
      <w:r>
        <w:t>,</w:t>
      </w:r>
      <w:r>
        <w:rPr>
          <w:spacing w:val="-5"/>
        </w:rPr>
        <w:t xml:space="preserve"> </w:t>
      </w:r>
      <w:r>
        <w:t>which</w:t>
      </w:r>
      <w:r>
        <w:rPr>
          <w:spacing w:val="-5"/>
        </w:rPr>
        <w:t xml:space="preserve"> </w:t>
      </w:r>
      <w:r>
        <w:t>is</w:t>
      </w:r>
      <w:r>
        <w:rPr>
          <w:spacing w:val="-5"/>
        </w:rPr>
        <w:t xml:space="preserve"> </w:t>
      </w:r>
      <w:r>
        <w:t>loose</w:t>
      </w:r>
      <w:r>
        <w:rPr>
          <w:spacing w:val="-5"/>
        </w:rPr>
        <w:t xml:space="preserve"> </w:t>
      </w:r>
      <w:r>
        <w:t>tobacco</w:t>
      </w:r>
      <w:r>
        <w:rPr>
          <w:spacing w:val="-5"/>
        </w:rPr>
        <w:t xml:space="preserve"> </w:t>
      </w:r>
      <w:r>
        <w:t>used to manually roll cigarettes. While Europe has long been the</w:t>
      </w:r>
      <w:r>
        <w:rPr>
          <w:spacing w:val="-4"/>
        </w:rPr>
        <w:t xml:space="preserve"> </w:t>
      </w:r>
      <w:r>
        <w:t>largest</w:t>
      </w:r>
      <w:r>
        <w:rPr>
          <w:spacing w:val="-4"/>
        </w:rPr>
        <w:t xml:space="preserve"> </w:t>
      </w:r>
      <w:r>
        <w:t>market</w:t>
      </w:r>
      <w:r>
        <w:rPr>
          <w:spacing w:val="-4"/>
        </w:rPr>
        <w:t xml:space="preserve"> </w:t>
      </w:r>
      <w:r>
        <w:t>for</w:t>
      </w:r>
      <w:r>
        <w:rPr>
          <w:spacing w:val="-4"/>
        </w:rPr>
        <w:t xml:space="preserve"> </w:t>
      </w:r>
      <w:r>
        <w:t>RYO</w:t>
      </w:r>
      <w:r>
        <w:rPr>
          <w:spacing w:val="-4"/>
        </w:rPr>
        <w:t xml:space="preserve"> </w:t>
      </w:r>
      <w:r>
        <w:t>tobacco, tobacco industry journals have noted increased sales in Africa, Asia, Latin America, the Middle East and</w:t>
      </w:r>
      <w:r>
        <w:rPr>
          <w:spacing w:val="-3"/>
        </w:rPr>
        <w:t xml:space="preserve"> </w:t>
      </w:r>
      <w:r>
        <w:t>Oceania</w:t>
      </w:r>
      <w:r>
        <w:rPr>
          <w:vertAlign w:val="superscript"/>
        </w:rPr>
        <w:t>1</w:t>
      </w:r>
      <w:r>
        <w:t>.</w:t>
      </w:r>
      <w:r>
        <w:rPr>
          <w:spacing w:val="-3"/>
        </w:rPr>
        <w:t xml:space="preserve"> </w:t>
      </w:r>
      <w:r>
        <w:t>Despite</w:t>
      </w:r>
      <w:r>
        <w:rPr>
          <w:spacing w:val="-3"/>
        </w:rPr>
        <w:t xml:space="preserve"> </w:t>
      </w:r>
      <w:r>
        <w:t>this</w:t>
      </w:r>
      <w:r>
        <w:rPr>
          <w:spacing w:val="-3"/>
        </w:rPr>
        <w:t xml:space="preserve"> </w:t>
      </w:r>
      <w:r>
        <w:t>reported</w:t>
      </w:r>
      <w:r>
        <w:rPr>
          <w:spacing w:val="-3"/>
        </w:rPr>
        <w:t xml:space="preserve"> </w:t>
      </w:r>
      <w:r>
        <w:t>growth,</w:t>
      </w:r>
      <w:r>
        <w:rPr>
          <w:spacing w:val="-3"/>
        </w:rPr>
        <w:t xml:space="preserve"> </w:t>
      </w:r>
      <w:r>
        <w:t>there</w:t>
      </w:r>
      <w:r>
        <w:rPr>
          <w:spacing w:val="-3"/>
        </w:rPr>
        <w:t xml:space="preserve"> </w:t>
      </w:r>
      <w:r>
        <w:t>appears</w:t>
      </w:r>
      <w:r>
        <w:rPr>
          <w:spacing w:val="-3"/>
        </w:rPr>
        <w:t xml:space="preserve"> </w:t>
      </w:r>
      <w:r>
        <w:t>to</w:t>
      </w:r>
      <w:r>
        <w:rPr>
          <w:spacing w:val="-3"/>
        </w:rPr>
        <w:t xml:space="preserve"> </w:t>
      </w:r>
      <w:r>
        <w:t>be</w:t>
      </w:r>
      <w:r>
        <w:rPr>
          <w:spacing w:val="-3"/>
        </w:rPr>
        <w:t xml:space="preserve"> </w:t>
      </w:r>
      <w:r>
        <w:t>limited</w:t>
      </w:r>
      <w:r>
        <w:rPr>
          <w:spacing w:val="-3"/>
        </w:rPr>
        <w:t xml:space="preserve"> </w:t>
      </w:r>
      <w:r>
        <w:t>academic research on RYO tobacco in some of these regions. In Latin America, for instance, few studies have explored RYO tobacco use</w:t>
      </w:r>
      <w:r>
        <w:rPr>
          <w:vertAlign w:val="superscript"/>
        </w:rPr>
        <w:t>2</w:t>
      </w:r>
      <w:r>
        <w:t xml:space="preserve"> and we are unaware of any research exploring the display and advertising of RYO at tobacco-selling points-of-sale (POS).</w:t>
      </w:r>
    </w:p>
    <w:p w14:paraId="66F3BB52" w14:textId="77777777" w:rsidR="00A84015" w:rsidRDefault="00000000">
      <w:pPr>
        <w:pStyle w:val="BodyText"/>
        <w:spacing w:line="480" w:lineRule="auto"/>
        <w:ind w:right="1312" w:firstLine="720"/>
        <w:jc w:val="both"/>
      </w:pPr>
      <w:r>
        <w:t>Low price is considered the key reason for RYO tobacco use in high-income countries</w:t>
      </w:r>
      <w:r>
        <w:rPr>
          <w:vertAlign w:val="superscript"/>
        </w:rPr>
        <w:t>3–5</w:t>
      </w:r>
      <w:r>
        <w:t>. However, other drivers have been identified, including the taste, the misperception</w:t>
      </w:r>
      <w:r>
        <w:rPr>
          <w:spacing w:val="40"/>
        </w:rPr>
        <w:t xml:space="preserve"> </w:t>
      </w:r>
      <w:r>
        <w:t>that</w:t>
      </w:r>
      <w:r>
        <w:rPr>
          <w:spacing w:val="40"/>
        </w:rPr>
        <w:t xml:space="preserve"> </w:t>
      </w:r>
      <w:r>
        <w:t>RYO</w:t>
      </w:r>
      <w:r>
        <w:rPr>
          <w:spacing w:val="40"/>
        </w:rPr>
        <w:t xml:space="preserve"> </w:t>
      </w:r>
      <w:r>
        <w:t>tobacco</w:t>
      </w:r>
      <w:r>
        <w:rPr>
          <w:spacing w:val="40"/>
        </w:rPr>
        <w:t xml:space="preserve"> </w:t>
      </w:r>
      <w:r>
        <w:t>is</w:t>
      </w:r>
      <w:r>
        <w:rPr>
          <w:spacing w:val="40"/>
        </w:rPr>
        <w:t xml:space="preserve"> </w:t>
      </w:r>
      <w:r>
        <w:t>less</w:t>
      </w:r>
      <w:r>
        <w:rPr>
          <w:spacing w:val="40"/>
        </w:rPr>
        <w:t xml:space="preserve"> </w:t>
      </w:r>
      <w:r>
        <w:t>harmful,</w:t>
      </w:r>
      <w:r>
        <w:rPr>
          <w:spacing w:val="40"/>
        </w:rPr>
        <w:t xml:space="preserve"> </w:t>
      </w:r>
      <w:r>
        <w:t>less</w:t>
      </w:r>
      <w:r>
        <w:rPr>
          <w:spacing w:val="40"/>
        </w:rPr>
        <w:t xml:space="preserve"> </w:t>
      </w:r>
      <w:r>
        <w:t>addictive,</w:t>
      </w:r>
      <w:r>
        <w:rPr>
          <w:spacing w:val="40"/>
        </w:rPr>
        <w:t xml:space="preserve"> </w:t>
      </w:r>
      <w:r>
        <w:t>more</w:t>
      </w:r>
      <w:r>
        <w:rPr>
          <w:spacing w:val="40"/>
        </w:rPr>
        <w:t xml:space="preserve"> </w:t>
      </w:r>
      <w:r>
        <w:t>natural,</w:t>
      </w:r>
      <w:r>
        <w:rPr>
          <w:spacing w:val="40"/>
        </w:rPr>
        <w:t xml:space="preserve"> </w:t>
      </w:r>
      <w:r>
        <w:t>and</w:t>
      </w:r>
      <w:r>
        <w:rPr>
          <w:spacing w:val="40"/>
        </w:rPr>
        <w:t xml:space="preserve"> </w:t>
      </w:r>
      <w:r>
        <w:t>more eco-friendly than conventional cigarettes, and the enjoyment of rolling and customising cigarettes, which is also seen as a ritual to interact with others</w:t>
      </w:r>
      <w:r>
        <w:rPr>
          <w:vertAlign w:val="superscript"/>
        </w:rPr>
        <w:t>3–6</w:t>
      </w:r>
      <w:r>
        <w:t>. Some of</w:t>
      </w:r>
      <w:r>
        <w:rPr>
          <w:spacing w:val="-4"/>
        </w:rPr>
        <w:t xml:space="preserve"> </w:t>
      </w:r>
      <w:r>
        <w:t>these</w:t>
      </w:r>
      <w:r>
        <w:rPr>
          <w:spacing w:val="-4"/>
        </w:rPr>
        <w:t xml:space="preserve"> </w:t>
      </w:r>
      <w:r>
        <w:t>drivers</w:t>
      </w:r>
      <w:r>
        <w:rPr>
          <w:spacing w:val="-4"/>
        </w:rPr>
        <w:t xml:space="preserve"> </w:t>
      </w:r>
      <w:r>
        <w:t>may be related to the marketing of RYO tobacco and/or the accessories typically used with this product (rolling papers, filters). For instance, manufacturers</w:t>
      </w:r>
      <w:r>
        <w:rPr>
          <w:spacing w:val="-2"/>
        </w:rPr>
        <w:t xml:space="preserve"> </w:t>
      </w:r>
      <w:r>
        <w:t>have</w:t>
      </w:r>
      <w:r>
        <w:rPr>
          <w:spacing w:val="-2"/>
        </w:rPr>
        <w:t xml:space="preserve"> </w:t>
      </w:r>
      <w:r>
        <w:t>introduced</w:t>
      </w:r>
      <w:r>
        <w:rPr>
          <w:spacing w:val="-2"/>
        </w:rPr>
        <w:t xml:space="preserve"> </w:t>
      </w:r>
      <w:r>
        <w:t>a</w:t>
      </w:r>
      <w:r>
        <w:rPr>
          <w:spacing w:val="-2"/>
        </w:rPr>
        <w:t xml:space="preserve"> </w:t>
      </w:r>
      <w:r>
        <w:t>range</w:t>
      </w:r>
      <w:r>
        <w:rPr>
          <w:spacing w:val="-2"/>
        </w:rPr>
        <w:t xml:space="preserve"> </w:t>
      </w:r>
      <w:r>
        <w:t>of</w:t>
      </w:r>
      <w:r>
        <w:rPr>
          <w:spacing w:val="-2"/>
        </w:rPr>
        <w:t xml:space="preserve"> </w:t>
      </w:r>
      <w:r>
        <w:t>more environmentally friendly rolling papers, which some RYO smokers have indicated</w:t>
      </w:r>
      <w:r>
        <w:rPr>
          <w:spacing w:val="-3"/>
        </w:rPr>
        <w:t xml:space="preserve"> </w:t>
      </w:r>
      <w:r>
        <w:t>are</w:t>
      </w:r>
      <w:r>
        <w:rPr>
          <w:spacing w:val="-3"/>
        </w:rPr>
        <w:t xml:space="preserve"> </w:t>
      </w:r>
      <w:r>
        <w:t>likely to be less harmful to their health</w:t>
      </w:r>
      <w:r>
        <w:rPr>
          <w:vertAlign w:val="superscript"/>
        </w:rPr>
        <w:t>5</w:t>
      </w:r>
      <w:r>
        <w:t>. Very little is known</w:t>
      </w:r>
      <w:r>
        <w:rPr>
          <w:spacing w:val="-5"/>
        </w:rPr>
        <w:t xml:space="preserve"> </w:t>
      </w:r>
      <w:r>
        <w:t>however</w:t>
      </w:r>
      <w:r>
        <w:rPr>
          <w:spacing w:val="-5"/>
        </w:rPr>
        <w:t xml:space="preserve"> </w:t>
      </w:r>
      <w:r>
        <w:t>about</w:t>
      </w:r>
      <w:r>
        <w:rPr>
          <w:spacing w:val="-5"/>
        </w:rPr>
        <w:t xml:space="preserve"> </w:t>
      </w:r>
      <w:r>
        <w:t>the</w:t>
      </w:r>
      <w:r>
        <w:rPr>
          <w:spacing w:val="-5"/>
        </w:rPr>
        <w:t xml:space="preserve"> </w:t>
      </w:r>
      <w:r>
        <w:t>impact,</w:t>
      </w:r>
      <w:r>
        <w:rPr>
          <w:spacing w:val="-5"/>
        </w:rPr>
        <w:t xml:space="preserve"> </w:t>
      </w:r>
      <w:r>
        <w:t>if</w:t>
      </w:r>
      <w:r>
        <w:rPr>
          <w:spacing w:val="-5"/>
        </w:rPr>
        <w:t xml:space="preserve"> </w:t>
      </w:r>
      <w:r>
        <w:t>any,</w:t>
      </w:r>
      <w:r>
        <w:rPr>
          <w:spacing w:val="-5"/>
        </w:rPr>
        <w:t xml:space="preserve"> </w:t>
      </w:r>
      <w:r>
        <w:t>that RYO marketing has on consumer behaviour, partly due to the lack of research and limited understanding of how RYO tobacco and accessories are marketed.</w:t>
      </w:r>
    </w:p>
    <w:p w14:paraId="2F663326" w14:textId="77777777" w:rsidR="00A84015" w:rsidRDefault="00000000">
      <w:pPr>
        <w:pStyle w:val="BodyText"/>
        <w:spacing w:line="480" w:lineRule="auto"/>
        <w:ind w:right="1316" w:firstLine="720"/>
        <w:jc w:val="both"/>
      </w:pPr>
      <w:r>
        <w:t>One way that tobacco and nicotine-containing products and accessories can be marketed is at the POS.</w:t>
      </w:r>
      <w:r>
        <w:rPr>
          <w:spacing w:val="-2"/>
        </w:rPr>
        <w:t xml:space="preserve"> </w:t>
      </w:r>
      <w:r>
        <w:t>Laws</w:t>
      </w:r>
      <w:r>
        <w:rPr>
          <w:spacing w:val="-2"/>
        </w:rPr>
        <w:t xml:space="preserve"> </w:t>
      </w:r>
      <w:r>
        <w:t>on</w:t>
      </w:r>
      <w:r>
        <w:rPr>
          <w:spacing w:val="-2"/>
        </w:rPr>
        <w:t xml:space="preserve"> </w:t>
      </w:r>
      <w:r>
        <w:t>the</w:t>
      </w:r>
      <w:r>
        <w:rPr>
          <w:spacing w:val="-2"/>
        </w:rPr>
        <w:t xml:space="preserve"> </w:t>
      </w:r>
      <w:r>
        <w:t>display</w:t>
      </w:r>
      <w:r>
        <w:rPr>
          <w:spacing w:val="-2"/>
        </w:rPr>
        <w:t xml:space="preserve"> </w:t>
      </w:r>
      <w:r>
        <w:t>and</w:t>
      </w:r>
      <w:r>
        <w:rPr>
          <w:spacing w:val="-2"/>
        </w:rPr>
        <w:t xml:space="preserve"> </w:t>
      </w:r>
      <w:r>
        <w:t>advertising</w:t>
      </w:r>
      <w:r>
        <w:rPr>
          <w:spacing w:val="-2"/>
        </w:rPr>
        <w:t xml:space="preserve"> </w:t>
      </w:r>
      <w:r>
        <w:t>of</w:t>
      </w:r>
      <w:r>
        <w:rPr>
          <w:spacing w:val="-2"/>
        </w:rPr>
        <w:t xml:space="preserve"> </w:t>
      </w:r>
      <w:r>
        <w:t>tobacco</w:t>
      </w:r>
      <w:r>
        <w:rPr>
          <w:spacing w:val="-2"/>
        </w:rPr>
        <w:t xml:space="preserve"> </w:t>
      </w:r>
      <w:r>
        <w:t>products</w:t>
      </w:r>
      <w:r>
        <w:rPr>
          <w:spacing w:val="-2"/>
        </w:rPr>
        <w:t xml:space="preserve"> </w:t>
      </w:r>
      <w:r>
        <w:t>at</w:t>
      </w:r>
      <w:r>
        <w:rPr>
          <w:spacing w:val="-2"/>
        </w:rPr>
        <w:t xml:space="preserve"> </w:t>
      </w:r>
      <w:r>
        <w:t>POS</w:t>
      </w:r>
      <w:r>
        <w:rPr>
          <w:spacing w:val="-2"/>
        </w:rPr>
        <w:t xml:space="preserve"> </w:t>
      </w:r>
      <w:r>
        <w:t>vary across Latin America. Certain countries (Brazil, Colombia, Guyana, Mexico, Panama, Suriname, Uruguay, Venezuela) prohibit all forms of tobacco advertising at POS, including the</w:t>
      </w:r>
      <w:r>
        <w:rPr>
          <w:spacing w:val="14"/>
        </w:rPr>
        <w:t xml:space="preserve"> </w:t>
      </w:r>
      <w:r>
        <w:t>open</w:t>
      </w:r>
      <w:r>
        <w:rPr>
          <w:spacing w:val="14"/>
        </w:rPr>
        <w:t xml:space="preserve"> </w:t>
      </w:r>
      <w:r>
        <w:t>display</w:t>
      </w:r>
      <w:r>
        <w:rPr>
          <w:spacing w:val="14"/>
        </w:rPr>
        <w:t xml:space="preserve"> </w:t>
      </w:r>
      <w:r>
        <w:t>of</w:t>
      </w:r>
      <w:r>
        <w:rPr>
          <w:spacing w:val="-1"/>
        </w:rPr>
        <w:t xml:space="preserve"> </w:t>
      </w:r>
      <w:r>
        <w:t>tobacco</w:t>
      </w:r>
      <w:r>
        <w:rPr>
          <w:spacing w:val="-1"/>
        </w:rPr>
        <w:t xml:space="preserve"> </w:t>
      </w:r>
      <w:r>
        <w:t>products, whereas</w:t>
      </w:r>
      <w:r>
        <w:rPr>
          <w:spacing w:val="-1"/>
        </w:rPr>
        <w:t xml:space="preserve"> </w:t>
      </w:r>
      <w:r>
        <w:t>others</w:t>
      </w:r>
      <w:r>
        <w:rPr>
          <w:spacing w:val="-1"/>
        </w:rPr>
        <w:t xml:space="preserve"> </w:t>
      </w:r>
      <w:r>
        <w:t>(Bolivia,</w:t>
      </w:r>
      <w:r>
        <w:rPr>
          <w:spacing w:val="-1"/>
        </w:rPr>
        <w:t xml:space="preserve"> </w:t>
      </w:r>
      <w:r>
        <w:t>Chile, Costa</w:t>
      </w:r>
      <w:r>
        <w:rPr>
          <w:spacing w:val="-1"/>
        </w:rPr>
        <w:t xml:space="preserve"> </w:t>
      </w:r>
      <w:r>
        <w:t>Rica,</w:t>
      </w:r>
      <w:r>
        <w:rPr>
          <w:spacing w:val="-1"/>
        </w:rPr>
        <w:t xml:space="preserve"> </w:t>
      </w:r>
      <w:r>
        <w:t xml:space="preserve">Ecuador, </w:t>
      </w:r>
      <w:r>
        <w:rPr>
          <w:spacing w:val="-5"/>
        </w:rPr>
        <w:t>El</w:t>
      </w:r>
    </w:p>
    <w:p w14:paraId="7EC50407"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67388ED4" w14:textId="77777777" w:rsidR="00A84015" w:rsidRDefault="00000000">
      <w:pPr>
        <w:pStyle w:val="BodyText"/>
        <w:spacing w:before="60" w:line="480" w:lineRule="auto"/>
        <w:ind w:right="1311"/>
        <w:jc w:val="both"/>
      </w:pPr>
      <w:r>
        <w:lastRenderedPageBreak/>
        <w:t>Salvador, Honduras, Paraguay) restrict tobacco advertising at POS, and yet others (Belize, Guatemala, Nicaragua, Peru) have no POS restrictions</w:t>
      </w:r>
      <w:r>
        <w:rPr>
          <w:vertAlign w:val="superscript"/>
        </w:rPr>
        <w:t>7</w:t>
      </w:r>
      <w:r>
        <w:t>. In Argentina regulations vary by province; some (e.g. Cordoba and La Pampa, where Santa Rosa is located) have local laws prohibiting POS advertising and the display of tobacco products, while others (e.g. Buenos Aires and Jujuy) follow the national law that permits the advertising and display of tobacco products. Research in the region has explored the availability and</w:t>
      </w:r>
      <w:r>
        <w:rPr>
          <w:spacing w:val="-2"/>
        </w:rPr>
        <w:t xml:space="preserve"> </w:t>
      </w:r>
      <w:r>
        <w:t>advertising</w:t>
      </w:r>
      <w:r>
        <w:rPr>
          <w:spacing w:val="-2"/>
        </w:rPr>
        <w:t xml:space="preserve"> </w:t>
      </w:r>
      <w:r>
        <w:t>of</w:t>
      </w:r>
      <w:r>
        <w:rPr>
          <w:spacing w:val="-2"/>
        </w:rPr>
        <w:t xml:space="preserve"> </w:t>
      </w:r>
      <w:r>
        <w:t>cigarettes</w:t>
      </w:r>
      <w:r>
        <w:rPr>
          <w:spacing w:val="-2"/>
        </w:rPr>
        <w:t xml:space="preserve"> </w:t>
      </w:r>
      <w:r>
        <w:t>at POS and compliance with existing regulations</w:t>
      </w:r>
      <w:r>
        <w:rPr>
          <w:vertAlign w:val="superscript"/>
        </w:rPr>
        <w:t>8,9</w:t>
      </w:r>
      <w:r>
        <w:t>, but there is an absence of research on the display and advertising of RYO tobacco and accessories.</w:t>
      </w:r>
    </w:p>
    <w:p w14:paraId="7FCC58D1" w14:textId="77777777" w:rsidR="00A84015" w:rsidRDefault="00000000">
      <w:pPr>
        <w:pStyle w:val="BodyText"/>
        <w:spacing w:line="480" w:lineRule="auto"/>
        <w:ind w:right="1321" w:firstLine="720"/>
        <w:jc w:val="both"/>
      </w:pPr>
      <w:r>
        <w:t>The objective of this study was to assess the display and</w:t>
      </w:r>
      <w:r>
        <w:rPr>
          <w:spacing w:val="-4"/>
        </w:rPr>
        <w:t xml:space="preserve"> </w:t>
      </w:r>
      <w:r>
        <w:t>advertising</w:t>
      </w:r>
      <w:r>
        <w:rPr>
          <w:spacing w:val="-4"/>
        </w:rPr>
        <w:t xml:space="preserve"> </w:t>
      </w:r>
      <w:r>
        <w:t>of</w:t>
      </w:r>
      <w:r>
        <w:rPr>
          <w:spacing w:val="-4"/>
        </w:rPr>
        <w:t xml:space="preserve"> </w:t>
      </w:r>
      <w:r>
        <w:t>RYO</w:t>
      </w:r>
      <w:r>
        <w:rPr>
          <w:spacing w:val="-4"/>
        </w:rPr>
        <w:t xml:space="preserve"> </w:t>
      </w:r>
      <w:r>
        <w:t>tobacco and accessories</w:t>
      </w:r>
      <w:r>
        <w:rPr>
          <w:spacing w:val="-4"/>
        </w:rPr>
        <w:t xml:space="preserve"> </w:t>
      </w:r>
      <w:r>
        <w:t>at</w:t>
      </w:r>
      <w:r>
        <w:rPr>
          <w:spacing w:val="-4"/>
        </w:rPr>
        <w:t xml:space="preserve"> </w:t>
      </w:r>
      <w:r>
        <w:t>POS</w:t>
      </w:r>
      <w:r>
        <w:rPr>
          <w:spacing w:val="-4"/>
        </w:rPr>
        <w:t xml:space="preserve"> </w:t>
      </w:r>
      <w:r>
        <w:t>in</w:t>
      </w:r>
      <w:r>
        <w:rPr>
          <w:spacing w:val="-4"/>
        </w:rPr>
        <w:t xml:space="preserve"> </w:t>
      </w:r>
      <w:r>
        <w:t>four</w:t>
      </w:r>
      <w:r>
        <w:rPr>
          <w:spacing w:val="-4"/>
        </w:rPr>
        <w:t xml:space="preserve"> </w:t>
      </w:r>
      <w:r>
        <w:t>Latin</w:t>
      </w:r>
      <w:r>
        <w:rPr>
          <w:spacing w:val="-4"/>
        </w:rPr>
        <w:t xml:space="preserve"> </w:t>
      </w:r>
      <w:r>
        <w:t>American</w:t>
      </w:r>
      <w:r>
        <w:rPr>
          <w:spacing w:val="-4"/>
        </w:rPr>
        <w:t xml:space="preserve"> </w:t>
      </w:r>
      <w:r>
        <w:t>countries:</w:t>
      </w:r>
      <w:r>
        <w:rPr>
          <w:spacing w:val="-4"/>
        </w:rPr>
        <w:t xml:space="preserve"> </w:t>
      </w:r>
      <w:r>
        <w:t>Argentina,</w:t>
      </w:r>
      <w:r>
        <w:rPr>
          <w:spacing w:val="-4"/>
        </w:rPr>
        <w:t xml:space="preserve"> </w:t>
      </w:r>
      <w:r>
        <w:t>Guatemala,</w:t>
      </w:r>
      <w:r>
        <w:rPr>
          <w:spacing w:val="-4"/>
        </w:rPr>
        <w:t xml:space="preserve"> </w:t>
      </w:r>
      <w:r>
        <w:t>Mexico,</w:t>
      </w:r>
      <w:r>
        <w:rPr>
          <w:spacing w:val="-4"/>
        </w:rPr>
        <w:t xml:space="preserve"> </w:t>
      </w:r>
      <w:r>
        <w:t xml:space="preserve">and </w:t>
      </w:r>
      <w:r>
        <w:rPr>
          <w:spacing w:val="-2"/>
        </w:rPr>
        <w:t>Peru.</w:t>
      </w:r>
    </w:p>
    <w:p w14:paraId="5D784927" w14:textId="77777777" w:rsidR="00A84015" w:rsidRDefault="00000000">
      <w:pPr>
        <w:pStyle w:val="Heading1"/>
      </w:pPr>
      <w:r>
        <w:rPr>
          <w:spacing w:val="-2"/>
        </w:rPr>
        <w:t>METHODS</w:t>
      </w:r>
    </w:p>
    <w:p w14:paraId="6A9B477D" w14:textId="77777777" w:rsidR="00A84015" w:rsidRDefault="00000000">
      <w:pPr>
        <w:pStyle w:val="Heading2"/>
        <w:spacing w:before="276"/>
      </w:pPr>
      <w:r>
        <w:rPr>
          <w:spacing w:val="-2"/>
        </w:rPr>
        <w:t>Design</w:t>
      </w:r>
    </w:p>
    <w:p w14:paraId="62127CF2" w14:textId="77777777" w:rsidR="00A84015" w:rsidRDefault="00000000">
      <w:pPr>
        <w:pStyle w:val="BodyText"/>
        <w:spacing w:before="276" w:line="480" w:lineRule="auto"/>
        <w:ind w:right="1312"/>
        <w:jc w:val="both"/>
      </w:pPr>
      <w:r>
        <w:t>For this cross-sectional study, we observed 2081 POS near</w:t>
      </w:r>
      <w:r>
        <w:rPr>
          <w:spacing w:val="-4"/>
        </w:rPr>
        <w:t xml:space="preserve"> </w:t>
      </w:r>
      <w:r>
        <w:t>schools</w:t>
      </w:r>
      <w:r>
        <w:rPr>
          <w:spacing w:val="-4"/>
        </w:rPr>
        <w:t xml:space="preserve"> </w:t>
      </w:r>
      <w:r>
        <w:t>in</w:t>
      </w:r>
      <w:r>
        <w:rPr>
          <w:spacing w:val="-4"/>
        </w:rPr>
        <w:t xml:space="preserve"> </w:t>
      </w:r>
      <w:r>
        <w:t>Argentina,</w:t>
      </w:r>
      <w:r>
        <w:rPr>
          <w:spacing w:val="-4"/>
        </w:rPr>
        <w:t xml:space="preserve"> </w:t>
      </w:r>
      <w:r>
        <w:t>Guatemala, Mexico, and Peru between April and July 2023. The study was conducted in four cities in each country: Cordoba, Quilmes, San Salvador de Jujuy, and Santa Rosa in Argentina; Guatemala City, Quetzaltenango, San Antonio, and Tecpan in Guatemala; Guadalajara, Mexico City, Monterrey, and Oaxaca in Mexico; Arequipa, Pucallpa,</w:t>
      </w:r>
      <w:r>
        <w:rPr>
          <w:spacing w:val="-5"/>
        </w:rPr>
        <w:t xml:space="preserve"> </w:t>
      </w:r>
      <w:r>
        <w:t>San</w:t>
      </w:r>
      <w:r>
        <w:rPr>
          <w:spacing w:val="-5"/>
        </w:rPr>
        <w:t xml:space="preserve"> </w:t>
      </w:r>
      <w:r>
        <w:t>Juan</w:t>
      </w:r>
      <w:r>
        <w:rPr>
          <w:spacing w:val="-5"/>
        </w:rPr>
        <w:t xml:space="preserve"> </w:t>
      </w:r>
      <w:r>
        <w:t>de</w:t>
      </w:r>
      <w:r>
        <w:rPr>
          <w:spacing w:val="-5"/>
        </w:rPr>
        <w:t xml:space="preserve"> </w:t>
      </w:r>
      <w:r>
        <w:t>Miraflores (Lima), and Trujillo in Peru. Cities in each country were chosen for their agricultural and livestock activities (rural) or their industrial activities (urban).</w:t>
      </w:r>
    </w:p>
    <w:p w14:paraId="7A503763" w14:textId="77777777" w:rsidR="00A84015" w:rsidRDefault="00000000">
      <w:pPr>
        <w:pStyle w:val="Heading2"/>
      </w:pPr>
      <w:r>
        <w:rPr>
          <w:spacing w:val="-2"/>
        </w:rPr>
        <w:t>Procedure</w:t>
      </w:r>
    </w:p>
    <w:p w14:paraId="7269CB3F" w14:textId="77777777" w:rsidR="00A84015" w:rsidRDefault="00000000">
      <w:pPr>
        <w:pStyle w:val="BodyText"/>
        <w:spacing w:before="276" w:line="480" w:lineRule="auto"/>
        <w:ind w:right="1314"/>
        <w:jc w:val="both"/>
      </w:pPr>
      <w:r>
        <w:t>In each country, cities were divided into geographical areas classified according to their socio-economic status (high, middle, and low). Areas with middle and high schools were randomly selected according to their socio-economic status (SES). Then, a pre-established route</w:t>
      </w:r>
      <w:r>
        <w:rPr>
          <w:spacing w:val="60"/>
        </w:rPr>
        <w:t xml:space="preserve"> </w:t>
      </w:r>
      <w:r>
        <w:t>around</w:t>
      </w:r>
      <w:r>
        <w:rPr>
          <w:spacing w:val="45"/>
        </w:rPr>
        <w:t xml:space="preserve"> </w:t>
      </w:r>
      <w:r>
        <w:t>each</w:t>
      </w:r>
      <w:r>
        <w:rPr>
          <w:spacing w:val="45"/>
        </w:rPr>
        <w:t xml:space="preserve"> </w:t>
      </w:r>
      <w:r>
        <w:t>school</w:t>
      </w:r>
      <w:r>
        <w:rPr>
          <w:spacing w:val="45"/>
        </w:rPr>
        <w:t xml:space="preserve"> </w:t>
      </w:r>
      <w:r>
        <w:t>was</w:t>
      </w:r>
      <w:r>
        <w:rPr>
          <w:spacing w:val="45"/>
        </w:rPr>
        <w:t xml:space="preserve"> </w:t>
      </w:r>
      <w:r>
        <w:t>followed</w:t>
      </w:r>
      <w:r>
        <w:rPr>
          <w:spacing w:val="45"/>
        </w:rPr>
        <w:t xml:space="preserve"> </w:t>
      </w:r>
      <w:r>
        <w:t>assessing</w:t>
      </w:r>
      <w:r>
        <w:rPr>
          <w:spacing w:val="45"/>
        </w:rPr>
        <w:t xml:space="preserve"> </w:t>
      </w:r>
      <w:r>
        <w:t>all</w:t>
      </w:r>
      <w:r>
        <w:rPr>
          <w:spacing w:val="45"/>
        </w:rPr>
        <w:t xml:space="preserve"> </w:t>
      </w:r>
      <w:r>
        <w:t>the</w:t>
      </w:r>
      <w:r>
        <w:rPr>
          <w:spacing w:val="45"/>
        </w:rPr>
        <w:t xml:space="preserve"> </w:t>
      </w:r>
      <w:r>
        <w:t>POS</w:t>
      </w:r>
      <w:r>
        <w:rPr>
          <w:spacing w:val="45"/>
        </w:rPr>
        <w:t xml:space="preserve"> </w:t>
      </w:r>
      <w:r>
        <w:t>in</w:t>
      </w:r>
      <w:r>
        <w:rPr>
          <w:spacing w:val="45"/>
        </w:rPr>
        <w:t xml:space="preserve"> </w:t>
      </w:r>
      <w:r>
        <w:t>the</w:t>
      </w:r>
      <w:r>
        <w:rPr>
          <w:spacing w:val="45"/>
        </w:rPr>
        <w:t xml:space="preserve"> </w:t>
      </w:r>
      <w:r>
        <w:t>path,</w:t>
      </w:r>
      <w:r>
        <w:rPr>
          <w:spacing w:val="45"/>
        </w:rPr>
        <w:t xml:space="preserve"> </w:t>
      </w:r>
      <w:r>
        <w:t>until</w:t>
      </w:r>
      <w:r>
        <w:rPr>
          <w:spacing w:val="45"/>
        </w:rPr>
        <w:t xml:space="preserve"> </w:t>
      </w:r>
      <w:r>
        <w:t>the</w:t>
      </w:r>
      <w:r>
        <w:rPr>
          <w:spacing w:val="45"/>
        </w:rPr>
        <w:t xml:space="preserve"> </w:t>
      </w:r>
      <w:r>
        <w:rPr>
          <w:spacing w:val="-2"/>
        </w:rPr>
        <w:t>total</w:t>
      </w:r>
    </w:p>
    <w:p w14:paraId="5FA71A82"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28B0D95A" w14:textId="77777777" w:rsidR="00A84015" w:rsidRDefault="00000000">
      <w:pPr>
        <w:pStyle w:val="BodyText"/>
        <w:spacing w:before="60" w:line="480" w:lineRule="auto"/>
        <w:ind w:right="1312"/>
        <w:jc w:val="both"/>
      </w:pPr>
      <w:r>
        <w:lastRenderedPageBreak/>
        <w:t>number of observed POS</w:t>
      </w:r>
      <w:r>
        <w:rPr>
          <w:spacing w:val="-3"/>
        </w:rPr>
        <w:t xml:space="preserve"> </w:t>
      </w:r>
      <w:r>
        <w:t>per</w:t>
      </w:r>
      <w:r>
        <w:rPr>
          <w:spacing w:val="-3"/>
        </w:rPr>
        <w:t xml:space="preserve"> </w:t>
      </w:r>
      <w:r>
        <w:t>city</w:t>
      </w:r>
      <w:r>
        <w:rPr>
          <w:spacing w:val="-3"/>
        </w:rPr>
        <w:t xml:space="preserve"> </w:t>
      </w:r>
      <w:r>
        <w:t>was</w:t>
      </w:r>
      <w:r>
        <w:rPr>
          <w:spacing w:val="-3"/>
        </w:rPr>
        <w:t xml:space="preserve"> </w:t>
      </w:r>
      <w:r>
        <w:t>reached,</w:t>
      </w:r>
      <w:r>
        <w:rPr>
          <w:spacing w:val="-3"/>
        </w:rPr>
        <w:t xml:space="preserve"> </w:t>
      </w:r>
      <w:r>
        <w:t>with</w:t>
      </w:r>
      <w:r>
        <w:rPr>
          <w:spacing w:val="-3"/>
        </w:rPr>
        <w:t xml:space="preserve"> </w:t>
      </w:r>
      <w:r>
        <w:t>approximately</w:t>
      </w:r>
      <w:r>
        <w:rPr>
          <w:spacing w:val="-3"/>
        </w:rPr>
        <w:t xml:space="preserve"> </w:t>
      </w:r>
      <w:r>
        <w:t>one-third</w:t>
      </w:r>
      <w:r>
        <w:rPr>
          <w:spacing w:val="-3"/>
        </w:rPr>
        <w:t xml:space="preserve"> </w:t>
      </w:r>
      <w:r>
        <w:t>of</w:t>
      </w:r>
      <w:r>
        <w:rPr>
          <w:spacing w:val="-3"/>
        </w:rPr>
        <w:t xml:space="preserve"> </w:t>
      </w:r>
      <w:r>
        <w:t>the</w:t>
      </w:r>
      <w:r>
        <w:rPr>
          <w:spacing w:val="-3"/>
        </w:rPr>
        <w:t xml:space="preserve"> </w:t>
      </w:r>
      <w:r>
        <w:t>sample</w:t>
      </w:r>
      <w:r>
        <w:rPr>
          <w:spacing w:val="-3"/>
        </w:rPr>
        <w:t xml:space="preserve"> </w:t>
      </w:r>
      <w:r>
        <w:t>in each SES. The number of areas and schools visited per city can be found in the Supplementary Table 1. The route around schools was created using a modified TPackSS methodology</w:t>
      </w:r>
      <w:r>
        <w:rPr>
          <w:vertAlign w:val="superscript"/>
        </w:rPr>
        <w:t>10,11</w:t>
      </w:r>
      <w:r>
        <w:t>,</w:t>
      </w:r>
      <w:r>
        <w:rPr>
          <w:spacing w:val="80"/>
        </w:rPr>
        <w:t xml:space="preserve"> </w:t>
      </w:r>
      <w:r>
        <w:t>as</w:t>
      </w:r>
      <w:r>
        <w:rPr>
          <w:spacing w:val="80"/>
        </w:rPr>
        <w:t xml:space="preserve"> </w:t>
      </w:r>
      <w:r>
        <w:t>this</w:t>
      </w:r>
      <w:r>
        <w:rPr>
          <w:spacing w:val="80"/>
        </w:rPr>
        <w:t xml:space="preserve"> </w:t>
      </w:r>
      <w:r>
        <w:t>is</w:t>
      </w:r>
      <w:r>
        <w:rPr>
          <w:spacing w:val="80"/>
        </w:rPr>
        <w:t xml:space="preserve"> </w:t>
      </w:r>
      <w:r>
        <w:t>an</w:t>
      </w:r>
      <w:r>
        <w:rPr>
          <w:spacing w:val="80"/>
        </w:rPr>
        <w:t xml:space="preserve"> </w:t>
      </w:r>
      <w:r>
        <w:t>established</w:t>
      </w:r>
      <w:r>
        <w:rPr>
          <w:spacing w:val="80"/>
        </w:rPr>
        <w:t xml:space="preserve"> </w:t>
      </w:r>
      <w:r>
        <w:t>approach</w:t>
      </w:r>
      <w:r>
        <w:rPr>
          <w:spacing w:val="80"/>
        </w:rPr>
        <w:t xml:space="preserve"> </w:t>
      </w:r>
      <w:r>
        <w:t>used</w:t>
      </w:r>
      <w:r>
        <w:rPr>
          <w:spacing w:val="80"/>
        </w:rPr>
        <w:t xml:space="preserve"> </w:t>
      </w:r>
      <w:r>
        <w:t>in</w:t>
      </w:r>
      <w:r>
        <w:rPr>
          <w:spacing w:val="80"/>
        </w:rPr>
        <w:t xml:space="preserve"> </w:t>
      </w:r>
      <w:r>
        <w:t>various</w:t>
      </w:r>
      <w:r>
        <w:rPr>
          <w:spacing w:val="80"/>
        </w:rPr>
        <w:t xml:space="preserve"> </w:t>
      </w:r>
      <w:r>
        <w:t>countries.</w:t>
      </w:r>
      <w:r>
        <w:rPr>
          <w:spacing w:val="80"/>
        </w:rPr>
        <w:t xml:space="preserve"> </w:t>
      </w:r>
      <w:r>
        <w:t>When pre-established routes overlapped due to</w:t>
      </w:r>
      <w:r>
        <w:rPr>
          <w:spacing w:val="-3"/>
        </w:rPr>
        <w:t xml:space="preserve"> </w:t>
      </w:r>
      <w:r>
        <w:t>visiting</w:t>
      </w:r>
      <w:r>
        <w:rPr>
          <w:spacing w:val="-3"/>
        </w:rPr>
        <w:t xml:space="preserve"> </w:t>
      </w:r>
      <w:r>
        <w:t>schools</w:t>
      </w:r>
      <w:r>
        <w:rPr>
          <w:spacing w:val="-3"/>
        </w:rPr>
        <w:t xml:space="preserve"> </w:t>
      </w:r>
      <w:r>
        <w:t>close</w:t>
      </w:r>
      <w:r>
        <w:rPr>
          <w:spacing w:val="-3"/>
        </w:rPr>
        <w:t xml:space="preserve"> </w:t>
      </w:r>
      <w:r>
        <w:t>to</w:t>
      </w:r>
      <w:r>
        <w:rPr>
          <w:spacing w:val="-3"/>
        </w:rPr>
        <w:t xml:space="preserve"> </w:t>
      </w:r>
      <w:r>
        <w:t>each</w:t>
      </w:r>
      <w:r>
        <w:rPr>
          <w:spacing w:val="-3"/>
        </w:rPr>
        <w:t xml:space="preserve"> </w:t>
      </w:r>
      <w:r>
        <w:t>other</w:t>
      </w:r>
      <w:r>
        <w:rPr>
          <w:spacing w:val="-3"/>
        </w:rPr>
        <w:t xml:space="preserve"> </w:t>
      </w:r>
      <w:r>
        <w:t>in</w:t>
      </w:r>
      <w:r>
        <w:rPr>
          <w:spacing w:val="-3"/>
        </w:rPr>
        <w:t xml:space="preserve"> </w:t>
      </w:r>
      <w:r>
        <w:t>the</w:t>
      </w:r>
      <w:r>
        <w:rPr>
          <w:spacing w:val="-3"/>
        </w:rPr>
        <w:t xml:space="preserve"> </w:t>
      </w:r>
      <w:r>
        <w:t>same</w:t>
      </w:r>
      <w:r>
        <w:rPr>
          <w:spacing w:val="-3"/>
        </w:rPr>
        <w:t xml:space="preserve"> </w:t>
      </w:r>
      <w:r>
        <w:t>area, POS in the overlapping sections were recorded only once.</w:t>
      </w:r>
    </w:p>
    <w:p w14:paraId="238F094B" w14:textId="77777777" w:rsidR="00A84015" w:rsidRDefault="00000000">
      <w:pPr>
        <w:pStyle w:val="BodyText"/>
        <w:spacing w:line="480" w:lineRule="auto"/>
        <w:ind w:right="1315" w:firstLine="720"/>
        <w:jc w:val="both"/>
      </w:pPr>
      <w:r>
        <w:t>To collect information at the POS we used a checklist developed from past research</w:t>
      </w:r>
      <w:r>
        <w:rPr>
          <w:vertAlign w:val="superscript"/>
        </w:rPr>
        <w:t>8,12,13</w:t>
      </w:r>
      <w:r>
        <w:t>. It assessed general POS information (store type, location, etc), the display</w:t>
      </w:r>
      <w:r>
        <w:rPr>
          <w:spacing w:val="-6"/>
        </w:rPr>
        <w:t xml:space="preserve"> </w:t>
      </w:r>
      <w:r>
        <w:t>and advertising of nicotine and tobacco products and accessories, prevention signage, and compliance with the law. The checklist was completed at each POS</w:t>
      </w:r>
      <w:r>
        <w:rPr>
          <w:spacing w:val="-4"/>
        </w:rPr>
        <w:t xml:space="preserve"> </w:t>
      </w:r>
      <w:r>
        <w:t>using</w:t>
      </w:r>
      <w:r>
        <w:rPr>
          <w:spacing w:val="-4"/>
        </w:rPr>
        <w:t xml:space="preserve"> </w:t>
      </w:r>
      <w:r>
        <w:t>the</w:t>
      </w:r>
      <w:r>
        <w:rPr>
          <w:spacing w:val="-4"/>
        </w:rPr>
        <w:t xml:space="preserve"> </w:t>
      </w:r>
      <w:r>
        <w:t>KoboCollect® App (</w:t>
      </w:r>
      <w:hyperlink r:id="rId6">
        <w:r>
          <w:rPr>
            <w:u w:val="thick"/>
          </w:rPr>
          <w:t>www.kobotoolbox.org/</w:t>
        </w:r>
      </w:hyperlink>
      <w:r>
        <w:t>) on a mobile phone. The study received approval from the Ethics Committees of the research institutions in each of the four countries and from the University of Stirling.</w:t>
      </w:r>
    </w:p>
    <w:p w14:paraId="4164538B" w14:textId="77777777" w:rsidR="00A84015" w:rsidRDefault="00000000">
      <w:pPr>
        <w:pStyle w:val="Heading2"/>
      </w:pPr>
      <w:r>
        <w:rPr>
          <w:spacing w:val="-2"/>
        </w:rPr>
        <w:t>Analysis</w:t>
      </w:r>
    </w:p>
    <w:p w14:paraId="40E5D868" w14:textId="77777777" w:rsidR="00A84015" w:rsidRDefault="00000000">
      <w:pPr>
        <w:pStyle w:val="BodyText"/>
        <w:spacing w:before="276" w:line="480" w:lineRule="auto"/>
        <w:ind w:right="1316"/>
        <w:jc w:val="both"/>
      </w:pPr>
      <w:r>
        <w:t>The display of RYO tobacco was almost exclusively observed in Argentina, with only one POS in Guatemala displaying this product and none in Mexico and Peru. Therefore, the analysis focuses on the display and advertising of RYO tobacco and accessories in the four cities in Argentina. Two of them, Cordoba and Santa Rosa, are in provinces with restrictive laws</w:t>
      </w:r>
      <w:r>
        <w:rPr>
          <w:spacing w:val="26"/>
        </w:rPr>
        <w:t xml:space="preserve"> </w:t>
      </w:r>
      <w:r>
        <w:t>prohibiting</w:t>
      </w:r>
      <w:r>
        <w:rPr>
          <w:spacing w:val="26"/>
        </w:rPr>
        <w:t xml:space="preserve"> </w:t>
      </w:r>
      <w:r>
        <w:t>the</w:t>
      </w:r>
      <w:r>
        <w:rPr>
          <w:spacing w:val="26"/>
        </w:rPr>
        <w:t xml:space="preserve"> </w:t>
      </w:r>
      <w:r>
        <w:t>display</w:t>
      </w:r>
      <w:r>
        <w:rPr>
          <w:spacing w:val="26"/>
        </w:rPr>
        <w:t xml:space="preserve"> </w:t>
      </w:r>
      <w:r>
        <w:t>of tobacco products. The other two, Quilmes and San Salvador de Jujuy, are</w:t>
      </w:r>
      <w:r>
        <w:rPr>
          <w:spacing w:val="-4"/>
        </w:rPr>
        <w:t xml:space="preserve"> </w:t>
      </w:r>
      <w:r>
        <w:t>in</w:t>
      </w:r>
      <w:r>
        <w:rPr>
          <w:spacing w:val="-4"/>
        </w:rPr>
        <w:t xml:space="preserve"> </w:t>
      </w:r>
      <w:r>
        <w:t>provinces</w:t>
      </w:r>
      <w:r>
        <w:rPr>
          <w:spacing w:val="-4"/>
        </w:rPr>
        <w:t xml:space="preserve"> </w:t>
      </w:r>
      <w:r>
        <w:t>where</w:t>
      </w:r>
      <w:r>
        <w:rPr>
          <w:spacing w:val="-4"/>
        </w:rPr>
        <w:t xml:space="preserve"> </w:t>
      </w:r>
      <w:r>
        <w:t>the</w:t>
      </w:r>
      <w:r>
        <w:rPr>
          <w:spacing w:val="-4"/>
        </w:rPr>
        <w:t xml:space="preserve"> </w:t>
      </w:r>
      <w:r>
        <w:t>national</w:t>
      </w:r>
      <w:r>
        <w:rPr>
          <w:spacing w:val="-4"/>
        </w:rPr>
        <w:t xml:space="preserve"> </w:t>
      </w:r>
      <w:r>
        <w:t>law</w:t>
      </w:r>
      <w:r>
        <w:rPr>
          <w:spacing w:val="-4"/>
        </w:rPr>
        <w:t xml:space="preserve"> </w:t>
      </w:r>
      <w:r>
        <w:t>applies,</w:t>
      </w:r>
      <w:r>
        <w:rPr>
          <w:spacing w:val="-4"/>
        </w:rPr>
        <w:t xml:space="preserve"> </w:t>
      </w:r>
      <w:r>
        <w:t>which</w:t>
      </w:r>
      <w:r>
        <w:rPr>
          <w:spacing w:val="-4"/>
        </w:rPr>
        <w:t xml:space="preserve"> </w:t>
      </w:r>
      <w:r>
        <w:t>allows</w:t>
      </w:r>
      <w:r>
        <w:rPr>
          <w:spacing w:val="-4"/>
        </w:rPr>
        <w:t xml:space="preserve"> </w:t>
      </w:r>
      <w:r>
        <w:t>the</w:t>
      </w:r>
      <w:r>
        <w:rPr>
          <w:spacing w:val="-4"/>
        </w:rPr>
        <w:t xml:space="preserve"> </w:t>
      </w:r>
      <w:r>
        <w:t>display</w:t>
      </w:r>
      <w:r>
        <w:rPr>
          <w:spacing w:val="-4"/>
        </w:rPr>
        <w:t xml:space="preserve"> </w:t>
      </w:r>
      <w:r>
        <w:t>of</w:t>
      </w:r>
      <w:r>
        <w:rPr>
          <w:spacing w:val="-4"/>
        </w:rPr>
        <w:t xml:space="preserve"> </w:t>
      </w:r>
      <w:r>
        <w:t>tobacco products at POS.</w:t>
      </w:r>
    </w:p>
    <w:p w14:paraId="4CABF09C" w14:textId="77777777" w:rsidR="00A84015" w:rsidRDefault="00000000">
      <w:pPr>
        <w:pStyle w:val="BodyText"/>
        <w:spacing w:line="480" w:lineRule="auto"/>
        <w:ind w:right="1311" w:firstLine="720"/>
        <w:jc w:val="both"/>
      </w:pPr>
      <w:r>
        <w:t>For analytical purposes, we reclassified the POS type variable, from the original categories (Kiosk, Neighbourhood store, Supermarket,</w:t>
      </w:r>
      <w:r>
        <w:rPr>
          <w:spacing w:val="-4"/>
        </w:rPr>
        <w:t xml:space="preserve"> </w:t>
      </w:r>
      <w:r>
        <w:t>Convenience</w:t>
      </w:r>
      <w:r>
        <w:rPr>
          <w:spacing w:val="-4"/>
        </w:rPr>
        <w:t xml:space="preserve"> </w:t>
      </w:r>
      <w:r>
        <w:t>store,</w:t>
      </w:r>
      <w:r>
        <w:rPr>
          <w:spacing w:val="-4"/>
        </w:rPr>
        <w:t xml:space="preserve"> </w:t>
      </w:r>
      <w:r>
        <w:t>and</w:t>
      </w:r>
      <w:r>
        <w:rPr>
          <w:spacing w:val="-4"/>
        </w:rPr>
        <w:t xml:space="preserve"> </w:t>
      </w:r>
      <w:r>
        <w:t>Petrol</w:t>
      </w:r>
      <w:r>
        <w:rPr>
          <w:spacing w:val="-4"/>
        </w:rPr>
        <w:t xml:space="preserve"> </w:t>
      </w:r>
      <w:r>
        <w:t>station) into three categories: 1. Kiosk: characterised as an informal store with restricted access,</w:t>
      </w:r>
      <w:r>
        <w:rPr>
          <w:spacing w:val="40"/>
        </w:rPr>
        <w:t xml:space="preserve"> </w:t>
      </w:r>
      <w:r>
        <w:t xml:space="preserve">where sales are conducted from outside, often through a window on the exterior of a house; </w:t>
      </w:r>
      <w:r>
        <w:rPr>
          <w:spacing w:val="-5"/>
        </w:rPr>
        <w:t>2.</w:t>
      </w:r>
    </w:p>
    <w:p w14:paraId="7B3A80E9"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0E706E99" w14:textId="77777777" w:rsidR="00A84015" w:rsidRDefault="00000000">
      <w:pPr>
        <w:pStyle w:val="BodyText"/>
        <w:spacing w:before="60" w:line="480" w:lineRule="auto"/>
        <w:ind w:left="1301" w:right="1312"/>
        <w:jc w:val="right"/>
      </w:pPr>
      <w:r>
        <w:t>Neighbourhood store: an informal retailer, which offers a broad range</w:t>
      </w:r>
      <w:r>
        <w:rPr>
          <w:spacing w:val="-4"/>
        </w:rPr>
        <w:t xml:space="preserve"> </w:t>
      </w:r>
      <w:r>
        <w:t>of</w:t>
      </w:r>
      <w:r>
        <w:rPr>
          <w:spacing w:val="-4"/>
        </w:rPr>
        <w:t xml:space="preserve"> </w:t>
      </w:r>
      <w:r>
        <w:t>products</w:t>
      </w:r>
      <w:r>
        <w:rPr>
          <w:spacing w:val="-4"/>
        </w:rPr>
        <w:t xml:space="preserve"> </w:t>
      </w:r>
      <w:r>
        <w:t>and</w:t>
      </w:r>
      <w:r>
        <w:rPr>
          <w:spacing w:val="-4"/>
        </w:rPr>
        <w:t xml:space="preserve"> </w:t>
      </w:r>
      <w:r>
        <w:t>which you enter to make the</w:t>
      </w:r>
      <w:r>
        <w:rPr>
          <w:spacing w:val="-2"/>
        </w:rPr>
        <w:t xml:space="preserve"> </w:t>
      </w:r>
      <w:r>
        <w:t>purchase;</w:t>
      </w:r>
      <w:r>
        <w:rPr>
          <w:spacing w:val="-2"/>
        </w:rPr>
        <w:t xml:space="preserve"> </w:t>
      </w:r>
      <w:r>
        <w:t>3.</w:t>
      </w:r>
      <w:r>
        <w:rPr>
          <w:spacing w:val="-2"/>
        </w:rPr>
        <w:t xml:space="preserve"> </w:t>
      </w:r>
      <w:r>
        <w:t>Convenience</w:t>
      </w:r>
      <w:r>
        <w:rPr>
          <w:spacing w:val="-2"/>
        </w:rPr>
        <w:t xml:space="preserve"> </w:t>
      </w:r>
      <w:r>
        <w:t>store:</w:t>
      </w:r>
      <w:r>
        <w:rPr>
          <w:spacing w:val="-2"/>
        </w:rPr>
        <w:t xml:space="preserve"> </w:t>
      </w:r>
      <w:r>
        <w:t>defined</w:t>
      </w:r>
      <w:r>
        <w:rPr>
          <w:spacing w:val="-2"/>
        </w:rPr>
        <w:t xml:space="preserve"> </w:t>
      </w:r>
      <w:r>
        <w:t>as</w:t>
      </w:r>
      <w:r>
        <w:rPr>
          <w:spacing w:val="-2"/>
        </w:rPr>
        <w:t xml:space="preserve"> </w:t>
      </w:r>
      <w:r>
        <w:t>a</w:t>
      </w:r>
      <w:r>
        <w:rPr>
          <w:spacing w:val="-2"/>
        </w:rPr>
        <w:t xml:space="preserve"> </w:t>
      </w:r>
      <w:r>
        <w:t>store</w:t>
      </w:r>
      <w:r>
        <w:rPr>
          <w:spacing w:val="-2"/>
        </w:rPr>
        <w:t xml:space="preserve"> </w:t>
      </w:r>
      <w:r>
        <w:t>providing</w:t>
      </w:r>
      <w:r>
        <w:rPr>
          <w:spacing w:val="-2"/>
        </w:rPr>
        <w:t xml:space="preserve"> </w:t>
      </w:r>
      <w:r>
        <w:t>additional services</w:t>
      </w:r>
      <w:r>
        <w:rPr>
          <w:spacing w:val="27"/>
        </w:rPr>
        <w:t xml:space="preserve"> </w:t>
      </w:r>
      <w:r>
        <w:t>like</w:t>
      </w:r>
      <w:r>
        <w:rPr>
          <w:spacing w:val="27"/>
        </w:rPr>
        <w:t xml:space="preserve"> </w:t>
      </w:r>
      <w:r>
        <w:t>money</w:t>
      </w:r>
      <w:r>
        <w:rPr>
          <w:spacing w:val="27"/>
        </w:rPr>
        <w:t xml:space="preserve"> </w:t>
      </w:r>
      <w:r>
        <w:t>transfers</w:t>
      </w:r>
      <w:r>
        <w:rPr>
          <w:spacing w:val="27"/>
        </w:rPr>
        <w:t xml:space="preserve"> </w:t>
      </w:r>
      <w:r>
        <w:t>and</w:t>
      </w:r>
      <w:r>
        <w:rPr>
          <w:spacing w:val="27"/>
        </w:rPr>
        <w:t xml:space="preserve"> </w:t>
      </w:r>
      <w:r>
        <w:t>bill</w:t>
      </w:r>
      <w:r>
        <w:rPr>
          <w:spacing w:val="27"/>
        </w:rPr>
        <w:t xml:space="preserve"> </w:t>
      </w:r>
      <w:r>
        <w:t>payments, may be part of a chain, and adopts a more formal</w:t>
      </w:r>
      <w:r>
        <w:rPr>
          <w:spacing w:val="40"/>
        </w:rPr>
        <w:t xml:space="preserve"> </w:t>
      </w:r>
      <w:r>
        <w:t>structure.</w:t>
      </w:r>
      <w:r>
        <w:rPr>
          <w:spacing w:val="40"/>
        </w:rPr>
        <w:t xml:space="preserve"> </w:t>
      </w:r>
      <w:r>
        <w:t>Due</w:t>
      </w:r>
      <w:r>
        <w:rPr>
          <w:spacing w:val="40"/>
        </w:rPr>
        <w:t xml:space="preserve"> </w:t>
      </w:r>
      <w:r>
        <w:t>to</w:t>
      </w:r>
      <w:r>
        <w:rPr>
          <w:spacing w:val="40"/>
        </w:rPr>
        <w:t xml:space="preserve"> </w:t>
      </w:r>
      <w:r>
        <w:t>the</w:t>
      </w:r>
      <w:r>
        <w:rPr>
          <w:spacing w:val="40"/>
        </w:rPr>
        <w:t xml:space="preserve"> </w:t>
      </w:r>
      <w:r>
        <w:t>limited</w:t>
      </w:r>
      <w:r>
        <w:rPr>
          <w:spacing w:val="40"/>
        </w:rPr>
        <w:t xml:space="preserve"> </w:t>
      </w:r>
      <w:r>
        <w:t>number</w:t>
      </w:r>
      <w:r>
        <w:rPr>
          <w:spacing w:val="40"/>
        </w:rPr>
        <w:t xml:space="preserve"> </w:t>
      </w:r>
      <w:r>
        <w:t>of</w:t>
      </w:r>
      <w:r>
        <w:rPr>
          <w:spacing w:val="40"/>
        </w:rPr>
        <w:t xml:space="preserve"> </w:t>
      </w:r>
      <w:r>
        <w:t>Supermarkets</w:t>
      </w:r>
      <w:r>
        <w:rPr>
          <w:spacing w:val="40"/>
        </w:rPr>
        <w:t xml:space="preserve"> </w:t>
      </w:r>
      <w:r>
        <w:t>(N=15)</w:t>
      </w:r>
      <w:r>
        <w:rPr>
          <w:spacing w:val="40"/>
        </w:rPr>
        <w:t xml:space="preserve"> </w:t>
      </w:r>
      <w:r>
        <w:t>and</w:t>
      </w:r>
      <w:r>
        <w:rPr>
          <w:spacing w:val="40"/>
        </w:rPr>
        <w:t xml:space="preserve"> </w:t>
      </w:r>
      <w:r>
        <w:t>Petrol</w:t>
      </w:r>
      <w:r>
        <w:rPr>
          <w:spacing w:val="40"/>
        </w:rPr>
        <w:t xml:space="preserve"> </w:t>
      </w:r>
      <w:r>
        <w:t>stations (N=13)</w:t>
      </w:r>
      <w:r>
        <w:rPr>
          <w:spacing w:val="40"/>
        </w:rPr>
        <w:t xml:space="preserve"> </w:t>
      </w:r>
      <w:r>
        <w:t>observed,</w:t>
      </w:r>
      <w:r>
        <w:rPr>
          <w:spacing w:val="40"/>
        </w:rPr>
        <w:t xml:space="preserve"> </w:t>
      </w:r>
      <w:r>
        <w:t>we</w:t>
      </w:r>
      <w:r>
        <w:rPr>
          <w:spacing w:val="40"/>
        </w:rPr>
        <w:t xml:space="preserve"> </w:t>
      </w:r>
      <w:r>
        <w:t>collapsed</w:t>
      </w:r>
      <w:r>
        <w:rPr>
          <w:spacing w:val="40"/>
        </w:rPr>
        <w:t xml:space="preserve"> </w:t>
      </w:r>
      <w:r>
        <w:t>them</w:t>
      </w:r>
      <w:r>
        <w:rPr>
          <w:spacing w:val="40"/>
        </w:rPr>
        <w:t xml:space="preserve"> </w:t>
      </w:r>
      <w:r>
        <w:t>into</w:t>
      </w:r>
      <w:r>
        <w:rPr>
          <w:spacing w:val="40"/>
        </w:rPr>
        <w:t xml:space="preserve"> </w:t>
      </w:r>
      <w:r>
        <w:t>other</w:t>
      </w:r>
      <w:r>
        <w:rPr>
          <w:spacing w:val="40"/>
        </w:rPr>
        <w:t xml:space="preserve"> </w:t>
      </w:r>
      <w:r>
        <w:t>categories</w:t>
      </w:r>
      <w:r>
        <w:rPr>
          <w:spacing w:val="40"/>
        </w:rPr>
        <w:t xml:space="preserve"> </w:t>
      </w:r>
      <w:r>
        <w:t>sharing</w:t>
      </w:r>
      <w:r>
        <w:rPr>
          <w:spacing w:val="40"/>
        </w:rPr>
        <w:t xml:space="preserve"> </w:t>
      </w:r>
      <w:r>
        <w:t>similar</w:t>
      </w:r>
      <w:r>
        <w:rPr>
          <w:spacing w:val="40"/>
        </w:rPr>
        <w:t xml:space="preserve"> </w:t>
      </w:r>
      <w:r>
        <w:t>characteristics. Supermarkets</w:t>
      </w:r>
      <w:r>
        <w:rPr>
          <w:spacing w:val="26"/>
        </w:rPr>
        <w:t xml:space="preserve"> </w:t>
      </w:r>
      <w:r>
        <w:t>were</w:t>
      </w:r>
      <w:r>
        <w:rPr>
          <w:spacing w:val="26"/>
        </w:rPr>
        <w:t xml:space="preserve"> </w:t>
      </w:r>
      <w:r>
        <w:t>included</w:t>
      </w:r>
      <w:r>
        <w:rPr>
          <w:spacing w:val="26"/>
        </w:rPr>
        <w:t xml:space="preserve"> </w:t>
      </w:r>
      <w:r>
        <w:t>in</w:t>
      </w:r>
      <w:r>
        <w:rPr>
          <w:spacing w:val="26"/>
        </w:rPr>
        <w:t xml:space="preserve"> </w:t>
      </w:r>
      <w:r>
        <w:t>the</w:t>
      </w:r>
      <w:r>
        <w:rPr>
          <w:spacing w:val="26"/>
        </w:rPr>
        <w:t xml:space="preserve"> </w:t>
      </w:r>
      <w:r>
        <w:t>Neighbourhood</w:t>
      </w:r>
      <w:r>
        <w:rPr>
          <w:spacing w:val="26"/>
        </w:rPr>
        <w:t xml:space="preserve"> </w:t>
      </w:r>
      <w:r>
        <w:t>Store</w:t>
      </w:r>
      <w:r>
        <w:rPr>
          <w:spacing w:val="26"/>
        </w:rPr>
        <w:t xml:space="preserve"> </w:t>
      </w:r>
      <w:r>
        <w:t>category,</w:t>
      </w:r>
      <w:r>
        <w:rPr>
          <w:spacing w:val="26"/>
        </w:rPr>
        <w:t xml:space="preserve"> </w:t>
      </w:r>
      <w:r>
        <w:t>as</w:t>
      </w:r>
      <w:r>
        <w:rPr>
          <w:spacing w:val="26"/>
        </w:rPr>
        <w:t xml:space="preserve"> </w:t>
      </w:r>
      <w:r>
        <w:t>they</w:t>
      </w:r>
      <w:r>
        <w:rPr>
          <w:spacing w:val="26"/>
        </w:rPr>
        <w:t xml:space="preserve"> </w:t>
      </w:r>
      <w:r>
        <w:t>sell a variety of products and in Argentina they typically share a similar level of informality. Petrol Stations, being</w:t>
      </w:r>
      <w:r>
        <w:rPr>
          <w:spacing w:val="-1"/>
        </w:rPr>
        <w:t xml:space="preserve"> </w:t>
      </w:r>
      <w:r>
        <w:t>formal</w:t>
      </w:r>
      <w:r>
        <w:rPr>
          <w:spacing w:val="-1"/>
        </w:rPr>
        <w:t xml:space="preserve"> </w:t>
      </w:r>
      <w:r>
        <w:t>shops</w:t>
      </w:r>
      <w:r>
        <w:rPr>
          <w:spacing w:val="-1"/>
        </w:rPr>
        <w:t xml:space="preserve"> </w:t>
      </w:r>
      <w:r>
        <w:t>usually</w:t>
      </w:r>
      <w:r>
        <w:rPr>
          <w:spacing w:val="-1"/>
        </w:rPr>
        <w:t xml:space="preserve"> </w:t>
      </w:r>
      <w:r>
        <w:t>affiliated</w:t>
      </w:r>
      <w:r>
        <w:rPr>
          <w:spacing w:val="-1"/>
        </w:rPr>
        <w:t xml:space="preserve"> </w:t>
      </w:r>
      <w:r>
        <w:t>with</w:t>
      </w:r>
      <w:r>
        <w:rPr>
          <w:spacing w:val="-1"/>
        </w:rPr>
        <w:t xml:space="preserve"> </w:t>
      </w:r>
      <w:r>
        <w:t>chains</w:t>
      </w:r>
      <w:r>
        <w:rPr>
          <w:spacing w:val="-1"/>
        </w:rPr>
        <w:t xml:space="preserve"> </w:t>
      </w:r>
      <w:r>
        <w:t>were</w:t>
      </w:r>
      <w:r>
        <w:rPr>
          <w:spacing w:val="-1"/>
        </w:rPr>
        <w:t xml:space="preserve"> </w:t>
      </w:r>
      <w:r>
        <w:t>categorised</w:t>
      </w:r>
      <w:r>
        <w:rPr>
          <w:spacing w:val="-1"/>
        </w:rPr>
        <w:t xml:space="preserve"> </w:t>
      </w:r>
      <w:r>
        <w:t>under</w:t>
      </w:r>
      <w:r>
        <w:rPr>
          <w:spacing w:val="-1"/>
        </w:rPr>
        <w:t xml:space="preserve"> </w:t>
      </w:r>
      <w:r>
        <w:t>Convenience</w:t>
      </w:r>
      <w:r>
        <w:rPr>
          <w:spacing w:val="-1"/>
        </w:rPr>
        <w:t xml:space="preserve"> </w:t>
      </w:r>
      <w:r>
        <w:t>Stores. Logistic</w:t>
      </w:r>
      <w:r>
        <w:rPr>
          <w:spacing w:val="40"/>
        </w:rPr>
        <w:t xml:space="preserve"> </w:t>
      </w:r>
      <w:r>
        <w:t>regression</w:t>
      </w:r>
      <w:r>
        <w:rPr>
          <w:spacing w:val="40"/>
        </w:rPr>
        <w:t xml:space="preserve"> </w:t>
      </w:r>
      <w:r>
        <w:t>models</w:t>
      </w:r>
      <w:r>
        <w:rPr>
          <w:spacing w:val="40"/>
        </w:rPr>
        <w:t xml:space="preserve"> </w:t>
      </w:r>
      <w:r>
        <w:t>were</w:t>
      </w:r>
      <w:r>
        <w:rPr>
          <w:spacing w:val="40"/>
        </w:rPr>
        <w:t xml:space="preserve"> </w:t>
      </w:r>
      <w:r>
        <w:t>employed</w:t>
      </w:r>
      <w:r>
        <w:rPr>
          <w:spacing w:val="40"/>
        </w:rPr>
        <w:t xml:space="preserve"> </w:t>
      </w:r>
      <w:r>
        <w:t>to</w:t>
      </w:r>
      <w:r>
        <w:rPr>
          <w:spacing w:val="40"/>
        </w:rPr>
        <w:t xml:space="preserve"> </w:t>
      </w:r>
      <w:r>
        <w:t>examine</w:t>
      </w:r>
      <w:r>
        <w:rPr>
          <w:spacing w:val="40"/>
        </w:rPr>
        <w:t xml:space="preserve"> </w:t>
      </w:r>
      <w:r>
        <w:t>the</w:t>
      </w:r>
      <w:r>
        <w:rPr>
          <w:spacing w:val="40"/>
        </w:rPr>
        <w:t xml:space="preserve"> </w:t>
      </w:r>
      <w:r>
        <w:t>association</w:t>
      </w:r>
      <w:r>
        <w:rPr>
          <w:spacing w:val="40"/>
        </w:rPr>
        <w:t xml:space="preserve"> </w:t>
      </w:r>
      <w:r>
        <w:t>between</w:t>
      </w:r>
      <w:r>
        <w:rPr>
          <w:spacing w:val="40"/>
        </w:rPr>
        <w:t xml:space="preserve"> </w:t>
      </w:r>
      <w:r>
        <w:t>the display</w:t>
      </w:r>
      <w:r>
        <w:rPr>
          <w:spacing w:val="40"/>
        </w:rPr>
        <w:t xml:space="preserve"> </w:t>
      </w:r>
      <w:r>
        <w:t>of</w:t>
      </w:r>
      <w:r>
        <w:rPr>
          <w:spacing w:val="40"/>
        </w:rPr>
        <w:t xml:space="preserve"> </w:t>
      </w:r>
      <w:r>
        <w:t>RYO</w:t>
      </w:r>
      <w:r>
        <w:rPr>
          <w:spacing w:val="40"/>
        </w:rPr>
        <w:t xml:space="preserve"> </w:t>
      </w:r>
      <w:r>
        <w:t>tobacco</w:t>
      </w:r>
      <w:r>
        <w:rPr>
          <w:spacing w:val="40"/>
        </w:rPr>
        <w:t xml:space="preserve"> </w:t>
      </w:r>
      <w:r>
        <w:t>and</w:t>
      </w:r>
      <w:r>
        <w:rPr>
          <w:spacing w:val="40"/>
        </w:rPr>
        <w:t xml:space="preserve"> </w:t>
      </w:r>
      <w:r>
        <w:t>the</w:t>
      </w:r>
      <w:r>
        <w:rPr>
          <w:spacing w:val="40"/>
        </w:rPr>
        <w:t xml:space="preserve"> </w:t>
      </w:r>
      <w:r>
        <w:t>display</w:t>
      </w:r>
      <w:r>
        <w:rPr>
          <w:spacing w:val="40"/>
        </w:rPr>
        <w:t xml:space="preserve"> </w:t>
      </w:r>
      <w:r>
        <w:t>of</w:t>
      </w:r>
      <w:r>
        <w:rPr>
          <w:spacing w:val="40"/>
        </w:rPr>
        <w:t xml:space="preserve"> </w:t>
      </w:r>
      <w:r>
        <w:t>accessories,</w:t>
      </w:r>
      <w:r>
        <w:rPr>
          <w:spacing w:val="40"/>
        </w:rPr>
        <w:t xml:space="preserve"> </w:t>
      </w:r>
      <w:r>
        <w:t>as</w:t>
      </w:r>
      <w:r>
        <w:rPr>
          <w:spacing w:val="40"/>
        </w:rPr>
        <w:t xml:space="preserve"> </w:t>
      </w:r>
      <w:r>
        <w:t>dependent</w:t>
      </w:r>
      <w:r>
        <w:rPr>
          <w:spacing w:val="40"/>
        </w:rPr>
        <w:t xml:space="preserve"> </w:t>
      </w:r>
      <w:r>
        <w:t>variables,</w:t>
      </w:r>
      <w:r>
        <w:rPr>
          <w:spacing w:val="40"/>
        </w:rPr>
        <w:t xml:space="preserve"> </w:t>
      </w:r>
      <w:r>
        <w:t>and</w:t>
      </w:r>
      <w:r>
        <w:rPr>
          <w:spacing w:val="40"/>
        </w:rPr>
        <w:t xml:space="preserve"> </w:t>
      </w:r>
      <w:r>
        <w:t>the independent variables SES (high, middle, or low), city (Cordoba, Quilmes, San Salvador de Jujuy, and Santa Rosa), and type of POS (kiosk, neighbourhood store or convenience store). Odds</w:t>
      </w:r>
      <w:r>
        <w:rPr>
          <w:spacing w:val="45"/>
        </w:rPr>
        <w:t xml:space="preserve"> </w:t>
      </w:r>
      <w:r>
        <w:t>ratios</w:t>
      </w:r>
      <w:r>
        <w:rPr>
          <w:spacing w:val="45"/>
        </w:rPr>
        <w:t xml:space="preserve"> </w:t>
      </w:r>
      <w:r>
        <w:t>(OR)</w:t>
      </w:r>
      <w:r>
        <w:rPr>
          <w:spacing w:val="45"/>
        </w:rPr>
        <w:t xml:space="preserve"> </w:t>
      </w:r>
      <w:r>
        <w:t>and</w:t>
      </w:r>
      <w:r>
        <w:rPr>
          <w:spacing w:val="45"/>
        </w:rPr>
        <w:t xml:space="preserve"> </w:t>
      </w:r>
      <w:r>
        <w:t>their</w:t>
      </w:r>
      <w:r>
        <w:rPr>
          <w:spacing w:val="45"/>
        </w:rPr>
        <w:t xml:space="preserve"> </w:t>
      </w:r>
      <w:r>
        <w:t>corresponding</w:t>
      </w:r>
      <w:r>
        <w:rPr>
          <w:spacing w:val="45"/>
        </w:rPr>
        <w:t xml:space="preserve"> </w:t>
      </w:r>
      <w:r>
        <w:t>95%</w:t>
      </w:r>
      <w:r>
        <w:rPr>
          <w:spacing w:val="45"/>
        </w:rPr>
        <w:t xml:space="preserve"> </w:t>
      </w:r>
      <w:r>
        <w:t>confidence</w:t>
      </w:r>
      <w:r>
        <w:rPr>
          <w:spacing w:val="45"/>
        </w:rPr>
        <w:t xml:space="preserve"> </w:t>
      </w:r>
      <w:r>
        <w:t>intervals</w:t>
      </w:r>
      <w:r>
        <w:rPr>
          <w:spacing w:val="45"/>
        </w:rPr>
        <w:t xml:space="preserve"> </w:t>
      </w:r>
      <w:r>
        <w:t>(CI)</w:t>
      </w:r>
      <w:r>
        <w:rPr>
          <w:spacing w:val="45"/>
        </w:rPr>
        <w:t xml:space="preserve"> </w:t>
      </w:r>
      <w:r>
        <w:t>were</w:t>
      </w:r>
      <w:r>
        <w:rPr>
          <w:spacing w:val="45"/>
        </w:rPr>
        <w:t xml:space="preserve"> </w:t>
      </w:r>
      <w:r>
        <w:rPr>
          <w:spacing w:val="-2"/>
        </w:rPr>
        <w:t>estimated.</w:t>
      </w:r>
    </w:p>
    <w:p w14:paraId="0A4F921E" w14:textId="77777777" w:rsidR="00A84015" w:rsidRDefault="00000000">
      <w:pPr>
        <w:pStyle w:val="BodyText"/>
        <w:jc w:val="both"/>
      </w:pPr>
      <w:r>
        <w:t xml:space="preserve">Data analysis was performed in </w:t>
      </w:r>
      <w:r>
        <w:rPr>
          <w:spacing w:val="-4"/>
        </w:rPr>
        <w:t>R</w:t>
      </w:r>
      <w:r>
        <w:rPr>
          <w:spacing w:val="-4"/>
          <w:vertAlign w:val="superscript"/>
        </w:rPr>
        <w:t>14</w:t>
      </w:r>
      <w:r>
        <w:rPr>
          <w:spacing w:val="-4"/>
        </w:rPr>
        <w:t>.</w:t>
      </w:r>
    </w:p>
    <w:p w14:paraId="29A534A9" w14:textId="77777777" w:rsidR="00A84015" w:rsidRDefault="00A84015">
      <w:pPr>
        <w:pStyle w:val="BodyText"/>
        <w:spacing w:before="200"/>
        <w:ind w:left="0"/>
      </w:pPr>
    </w:p>
    <w:p w14:paraId="41E1EDDE" w14:textId="77777777" w:rsidR="00A84015" w:rsidRDefault="00000000">
      <w:pPr>
        <w:pStyle w:val="Heading1"/>
        <w:spacing w:before="0"/>
      </w:pPr>
      <w:r>
        <w:rPr>
          <w:spacing w:val="-2"/>
        </w:rPr>
        <w:t>RESULTS</w:t>
      </w:r>
    </w:p>
    <w:p w14:paraId="136F3983" w14:textId="77777777" w:rsidR="00A84015" w:rsidRDefault="00000000">
      <w:pPr>
        <w:pStyle w:val="BodyText"/>
        <w:spacing w:before="276"/>
        <w:jc w:val="both"/>
      </w:pPr>
      <w:r>
        <w:t>Within</w:t>
      </w:r>
      <w:r>
        <w:rPr>
          <w:spacing w:val="58"/>
        </w:rPr>
        <w:t xml:space="preserve"> </w:t>
      </w:r>
      <w:r>
        <w:t>Argentina,</w:t>
      </w:r>
      <w:r>
        <w:rPr>
          <w:spacing w:val="59"/>
        </w:rPr>
        <w:t xml:space="preserve"> </w:t>
      </w:r>
      <w:r>
        <w:t>512</w:t>
      </w:r>
      <w:r>
        <w:rPr>
          <w:spacing w:val="59"/>
        </w:rPr>
        <w:t xml:space="preserve"> </w:t>
      </w:r>
      <w:r>
        <w:t>POS</w:t>
      </w:r>
      <w:r>
        <w:rPr>
          <w:spacing w:val="44"/>
        </w:rPr>
        <w:t xml:space="preserve"> </w:t>
      </w:r>
      <w:r>
        <w:t>were</w:t>
      </w:r>
      <w:r>
        <w:rPr>
          <w:spacing w:val="43"/>
        </w:rPr>
        <w:t xml:space="preserve"> </w:t>
      </w:r>
      <w:r>
        <w:t>visited,</w:t>
      </w:r>
      <w:r>
        <w:rPr>
          <w:spacing w:val="44"/>
        </w:rPr>
        <w:t xml:space="preserve"> </w:t>
      </w:r>
      <w:r>
        <w:t>with</w:t>
      </w:r>
      <w:r>
        <w:rPr>
          <w:spacing w:val="44"/>
        </w:rPr>
        <w:t xml:space="preserve"> </w:t>
      </w:r>
      <w:r>
        <w:t>129</w:t>
      </w:r>
      <w:r>
        <w:rPr>
          <w:spacing w:val="44"/>
        </w:rPr>
        <w:t xml:space="preserve"> </w:t>
      </w:r>
      <w:r>
        <w:t>(25.2%)</w:t>
      </w:r>
      <w:r>
        <w:rPr>
          <w:spacing w:val="44"/>
        </w:rPr>
        <w:t xml:space="preserve"> </w:t>
      </w:r>
      <w:r>
        <w:t>in</w:t>
      </w:r>
      <w:r>
        <w:rPr>
          <w:spacing w:val="44"/>
        </w:rPr>
        <w:t xml:space="preserve"> </w:t>
      </w:r>
      <w:r>
        <w:t>Cordoba,</w:t>
      </w:r>
      <w:r>
        <w:rPr>
          <w:spacing w:val="44"/>
        </w:rPr>
        <w:t xml:space="preserve"> </w:t>
      </w:r>
      <w:r>
        <w:t>146</w:t>
      </w:r>
      <w:r>
        <w:rPr>
          <w:spacing w:val="44"/>
        </w:rPr>
        <w:t xml:space="preserve"> </w:t>
      </w:r>
      <w:r>
        <w:t>(28.5%)</w:t>
      </w:r>
      <w:r>
        <w:rPr>
          <w:spacing w:val="44"/>
        </w:rPr>
        <w:t xml:space="preserve"> </w:t>
      </w:r>
      <w:r>
        <w:rPr>
          <w:spacing w:val="-5"/>
        </w:rPr>
        <w:t>in</w:t>
      </w:r>
    </w:p>
    <w:p w14:paraId="2CFE2497" w14:textId="77777777" w:rsidR="00A84015" w:rsidRDefault="00000000">
      <w:pPr>
        <w:pStyle w:val="BodyText"/>
        <w:spacing w:before="276" w:line="480" w:lineRule="auto"/>
        <w:ind w:right="1312"/>
        <w:jc w:val="both"/>
      </w:pPr>
      <w:r>
        <w:t>Quilmes, 132 (25.8%) in San Salvador de Jujuy, and 105 (20.5%) in Santa Rosa. Table 1 shows the distribution of POS per city by store type and SES.</w:t>
      </w:r>
    </w:p>
    <w:p w14:paraId="2CCE9211" w14:textId="77777777" w:rsidR="00A84015" w:rsidRDefault="00000000">
      <w:pPr>
        <w:pStyle w:val="BodyText"/>
        <w:spacing w:line="480" w:lineRule="auto"/>
        <w:ind w:right="1313" w:firstLine="720"/>
        <w:jc w:val="both"/>
      </w:pPr>
      <w:r>
        <w:t>RYO tobacco was observed in 110 (21.5%) POS,</w:t>
      </w:r>
      <w:r>
        <w:rPr>
          <w:spacing w:val="-4"/>
        </w:rPr>
        <w:t xml:space="preserve"> </w:t>
      </w:r>
      <w:r>
        <w:t>40</w:t>
      </w:r>
      <w:r>
        <w:rPr>
          <w:spacing w:val="-4"/>
        </w:rPr>
        <w:t xml:space="preserve"> </w:t>
      </w:r>
      <w:r>
        <w:t>(31.0%)</w:t>
      </w:r>
      <w:r>
        <w:rPr>
          <w:spacing w:val="-4"/>
        </w:rPr>
        <w:t xml:space="preserve"> </w:t>
      </w:r>
      <w:r>
        <w:t>in</w:t>
      </w:r>
      <w:r>
        <w:rPr>
          <w:spacing w:val="-4"/>
        </w:rPr>
        <w:t xml:space="preserve"> </w:t>
      </w:r>
      <w:r>
        <w:t>Cordoba,</w:t>
      </w:r>
      <w:r>
        <w:rPr>
          <w:spacing w:val="-4"/>
        </w:rPr>
        <w:t xml:space="preserve"> </w:t>
      </w:r>
      <w:r>
        <w:t>19</w:t>
      </w:r>
      <w:r>
        <w:rPr>
          <w:spacing w:val="-4"/>
        </w:rPr>
        <w:t xml:space="preserve"> </w:t>
      </w:r>
      <w:r>
        <w:t>(13.0%) in Quilmes, 20 (15.2%) in San Salvador de Jujuy, and 31 (29.5%) in Santa Rosa (see Supplementary Figure 1). Among those, 52 (47.7%) displayed flavoured RYO tobacco, 77 (70.6%) placed the RYO tobacco less than 50cm from the cash register, and 69</w:t>
      </w:r>
      <w:r>
        <w:rPr>
          <w:spacing w:val="-4"/>
        </w:rPr>
        <w:t xml:space="preserve"> </w:t>
      </w:r>
      <w:r>
        <w:t>(63.3%)</w:t>
      </w:r>
      <w:r>
        <w:rPr>
          <w:spacing w:val="-4"/>
        </w:rPr>
        <w:t xml:space="preserve"> </w:t>
      </w:r>
      <w:r>
        <w:t>less than 50cm from toys or candy. Accessories (rolling papers or filters) were observed in 129 (25.2%) POS,</w:t>
      </w:r>
      <w:r>
        <w:rPr>
          <w:spacing w:val="-2"/>
        </w:rPr>
        <w:t xml:space="preserve"> </w:t>
      </w:r>
      <w:r>
        <w:t>47</w:t>
      </w:r>
      <w:r>
        <w:rPr>
          <w:spacing w:val="-2"/>
        </w:rPr>
        <w:t xml:space="preserve"> </w:t>
      </w:r>
      <w:r>
        <w:t>(36.4%)</w:t>
      </w:r>
      <w:r>
        <w:rPr>
          <w:spacing w:val="-2"/>
        </w:rPr>
        <w:t xml:space="preserve"> </w:t>
      </w:r>
      <w:r>
        <w:t>in</w:t>
      </w:r>
      <w:r>
        <w:rPr>
          <w:spacing w:val="-2"/>
        </w:rPr>
        <w:t xml:space="preserve"> </w:t>
      </w:r>
      <w:r>
        <w:t>Cordoba,</w:t>
      </w:r>
      <w:r>
        <w:rPr>
          <w:spacing w:val="-2"/>
        </w:rPr>
        <w:t xml:space="preserve"> </w:t>
      </w:r>
      <w:r>
        <w:t>15</w:t>
      </w:r>
      <w:r>
        <w:rPr>
          <w:spacing w:val="-2"/>
        </w:rPr>
        <w:t xml:space="preserve"> </w:t>
      </w:r>
      <w:r>
        <w:t>(10.3%)</w:t>
      </w:r>
      <w:r>
        <w:rPr>
          <w:spacing w:val="-2"/>
        </w:rPr>
        <w:t xml:space="preserve"> </w:t>
      </w:r>
      <w:r>
        <w:t>in</w:t>
      </w:r>
      <w:r>
        <w:rPr>
          <w:spacing w:val="-2"/>
        </w:rPr>
        <w:t xml:space="preserve"> </w:t>
      </w:r>
      <w:r>
        <w:t>Quilmes,</w:t>
      </w:r>
      <w:r>
        <w:rPr>
          <w:spacing w:val="-2"/>
        </w:rPr>
        <w:t xml:space="preserve"> </w:t>
      </w:r>
      <w:r>
        <w:t>19</w:t>
      </w:r>
      <w:r>
        <w:rPr>
          <w:spacing w:val="-2"/>
        </w:rPr>
        <w:t xml:space="preserve"> </w:t>
      </w:r>
      <w:r>
        <w:t>(14.4%)</w:t>
      </w:r>
      <w:r>
        <w:rPr>
          <w:spacing w:val="-2"/>
        </w:rPr>
        <w:t xml:space="preserve"> </w:t>
      </w:r>
      <w:r>
        <w:t>in</w:t>
      </w:r>
      <w:r>
        <w:rPr>
          <w:spacing w:val="-2"/>
        </w:rPr>
        <w:t xml:space="preserve"> </w:t>
      </w:r>
      <w:r>
        <w:t>San</w:t>
      </w:r>
      <w:r>
        <w:rPr>
          <w:spacing w:val="-2"/>
        </w:rPr>
        <w:t xml:space="preserve"> </w:t>
      </w:r>
      <w:r>
        <w:t>Salvador</w:t>
      </w:r>
      <w:r>
        <w:rPr>
          <w:spacing w:val="-2"/>
        </w:rPr>
        <w:t xml:space="preserve"> </w:t>
      </w:r>
      <w:r>
        <w:t>de Jujuy,</w:t>
      </w:r>
      <w:r>
        <w:rPr>
          <w:spacing w:val="10"/>
        </w:rPr>
        <w:t xml:space="preserve"> </w:t>
      </w:r>
      <w:r>
        <w:t>and</w:t>
      </w:r>
      <w:r>
        <w:rPr>
          <w:spacing w:val="-3"/>
        </w:rPr>
        <w:t xml:space="preserve"> </w:t>
      </w:r>
      <w:r>
        <w:t>48</w:t>
      </w:r>
      <w:r>
        <w:rPr>
          <w:spacing w:val="-2"/>
        </w:rPr>
        <w:t xml:space="preserve"> </w:t>
      </w:r>
      <w:r>
        <w:t>(45.7%)</w:t>
      </w:r>
      <w:r>
        <w:rPr>
          <w:spacing w:val="-2"/>
        </w:rPr>
        <w:t xml:space="preserve"> </w:t>
      </w:r>
      <w:r>
        <w:t>in</w:t>
      </w:r>
      <w:r>
        <w:rPr>
          <w:spacing w:val="-2"/>
        </w:rPr>
        <w:t xml:space="preserve"> </w:t>
      </w:r>
      <w:r>
        <w:t>Santa</w:t>
      </w:r>
      <w:r>
        <w:rPr>
          <w:spacing w:val="-3"/>
        </w:rPr>
        <w:t xml:space="preserve"> </w:t>
      </w:r>
      <w:r>
        <w:t>Rosa.</w:t>
      </w:r>
      <w:r>
        <w:rPr>
          <w:spacing w:val="-2"/>
        </w:rPr>
        <w:t xml:space="preserve"> </w:t>
      </w:r>
      <w:r>
        <w:t>Advertising</w:t>
      </w:r>
      <w:r>
        <w:rPr>
          <w:spacing w:val="-2"/>
        </w:rPr>
        <w:t xml:space="preserve"> </w:t>
      </w:r>
      <w:r>
        <w:t>was</w:t>
      </w:r>
      <w:r>
        <w:rPr>
          <w:spacing w:val="-2"/>
        </w:rPr>
        <w:t xml:space="preserve"> </w:t>
      </w:r>
      <w:r>
        <w:t>uncommon,</w:t>
      </w:r>
      <w:r>
        <w:rPr>
          <w:spacing w:val="-3"/>
        </w:rPr>
        <w:t xml:space="preserve"> </w:t>
      </w:r>
      <w:r>
        <w:t>observed</w:t>
      </w:r>
      <w:r>
        <w:rPr>
          <w:spacing w:val="-2"/>
        </w:rPr>
        <w:t xml:space="preserve"> </w:t>
      </w:r>
      <w:r>
        <w:t>for</w:t>
      </w:r>
      <w:r>
        <w:rPr>
          <w:spacing w:val="-2"/>
        </w:rPr>
        <w:t xml:space="preserve"> </w:t>
      </w:r>
      <w:r>
        <w:t>RYO</w:t>
      </w:r>
      <w:r>
        <w:rPr>
          <w:spacing w:val="-2"/>
        </w:rPr>
        <w:t xml:space="preserve"> tobacco</w:t>
      </w:r>
    </w:p>
    <w:p w14:paraId="0BC66E85"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568A9DB6" w14:textId="77777777" w:rsidR="00A84015" w:rsidRDefault="00000000">
      <w:pPr>
        <w:pStyle w:val="BodyText"/>
        <w:spacing w:before="60"/>
        <w:jc w:val="both"/>
      </w:pPr>
      <w:r>
        <w:t xml:space="preserve">in just 2 (1.8%) POS and for accessories in 4 (3.1%) </w:t>
      </w:r>
      <w:r>
        <w:rPr>
          <w:spacing w:val="-4"/>
        </w:rPr>
        <w:t>POS.</w:t>
      </w:r>
    </w:p>
    <w:p w14:paraId="1ED12E34" w14:textId="77777777" w:rsidR="00A84015" w:rsidRDefault="00000000">
      <w:pPr>
        <w:pStyle w:val="BodyText"/>
        <w:spacing w:before="276" w:line="480" w:lineRule="auto"/>
        <w:ind w:right="1312" w:firstLine="720"/>
        <w:jc w:val="both"/>
      </w:pPr>
      <w:r>
        <w:t>Table 2 shows the results of the univariate and the multivariate logistic regressions. All independent variables (type of POS, SES, city) were significantly associated with the display of RYO tobacco and accessories. In the two multivariate models, middle and high SES were associated with an increased display of RYO</w:t>
      </w:r>
      <w:r>
        <w:rPr>
          <w:spacing w:val="-3"/>
        </w:rPr>
        <w:t xml:space="preserve"> </w:t>
      </w:r>
      <w:r>
        <w:t>tobacco</w:t>
      </w:r>
      <w:r>
        <w:rPr>
          <w:spacing w:val="-3"/>
        </w:rPr>
        <w:t xml:space="preserve"> </w:t>
      </w:r>
      <w:r>
        <w:t>and</w:t>
      </w:r>
      <w:r>
        <w:rPr>
          <w:spacing w:val="-3"/>
        </w:rPr>
        <w:t xml:space="preserve"> </w:t>
      </w:r>
      <w:r>
        <w:t>accessories</w:t>
      </w:r>
      <w:r>
        <w:rPr>
          <w:spacing w:val="-3"/>
        </w:rPr>
        <w:t xml:space="preserve"> </w:t>
      </w:r>
      <w:r>
        <w:t>compared</w:t>
      </w:r>
      <w:r>
        <w:rPr>
          <w:spacing w:val="-3"/>
        </w:rPr>
        <w:t xml:space="preserve"> </w:t>
      </w:r>
      <w:r>
        <w:t>to low</w:t>
      </w:r>
      <w:r>
        <w:rPr>
          <w:spacing w:val="-1"/>
        </w:rPr>
        <w:t xml:space="preserve"> </w:t>
      </w:r>
      <w:r>
        <w:t>SES (OR:</w:t>
      </w:r>
      <w:r>
        <w:rPr>
          <w:spacing w:val="-1"/>
        </w:rPr>
        <w:t xml:space="preserve"> </w:t>
      </w:r>
      <w:r>
        <w:t>4.47, CI</w:t>
      </w:r>
      <w:r>
        <w:rPr>
          <w:spacing w:val="-1"/>
        </w:rPr>
        <w:t xml:space="preserve"> </w:t>
      </w:r>
      <w:r>
        <w:t>2.25 -</w:t>
      </w:r>
      <w:r>
        <w:rPr>
          <w:spacing w:val="-1"/>
        </w:rPr>
        <w:t xml:space="preserve"> </w:t>
      </w:r>
      <w:r>
        <w:t>9.54 and</w:t>
      </w:r>
      <w:r>
        <w:rPr>
          <w:spacing w:val="-1"/>
        </w:rPr>
        <w:t xml:space="preserve"> </w:t>
      </w:r>
      <w:r>
        <w:t>OR: 3.11, CI</w:t>
      </w:r>
      <w:r>
        <w:rPr>
          <w:spacing w:val="-1"/>
        </w:rPr>
        <w:t xml:space="preserve"> </w:t>
      </w:r>
      <w:r>
        <w:t>1.71 -</w:t>
      </w:r>
      <w:r>
        <w:rPr>
          <w:spacing w:val="-1"/>
        </w:rPr>
        <w:t xml:space="preserve"> </w:t>
      </w:r>
      <w:r>
        <w:t>5.86 for</w:t>
      </w:r>
      <w:r>
        <w:rPr>
          <w:spacing w:val="-1"/>
        </w:rPr>
        <w:t xml:space="preserve"> </w:t>
      </w:r>
      <w:r>
        <w:t>middle SES;</w:t>
      </w:r>
      <w:r>
        <w:rPr>
          <w:spacing w:val="-1"/>
        </w:rPr>
        <w:t xml:space="preserve"> </w:t>
      </w:r>
      <w:r>
        <w:t xml:space="preserve">OR: 4.28, </w:t>
      </w:r>
      <w:r>
        <w:rPr>
          <w:spacing w:val="-5"/>
        </w:rPr>
        <w:t>CI</w:t>
      </w:r>
    </w:p>
    <w:p w14:paraId="59E6479F" w14:textId="77777777" w:rsidR="00A84015" w:rsidRDefault="00000000">
      <w:pPr>
        <w:pStyle w:val="BodyText"/>
        <w:spacing w:line="480" w:lineRule="auto"/>
        <w:ind w:right="1321"/>
        <w:jc w:val="both"/>
      </w:pPr>
      <w:r>
        <w:t>2.14 - 9.17 and OR: 3.08, CI 1.67 - 5.84 for high SES). Convenience and neighbourhood stores had greater odds of displaying RYO tobacco and accessories than kiosks. Finally, the cities of Cordoba and Santa Rosa were associated with an</w:t>
      </w:r>
      <w:r>
        <w:rPr>
          <w:spacing w:val="-3"/>
        </w:rPr>
        <w:t xml:space="preserve"> </w:t>
      </w:r>
      <w:r>
        <w:t>increased</w:t>
      </w:r>
      <w:r>
        <w:rPr>
          <w:spacing w:val="-3"/>
        </w:rPr>
        <w:t xml:space="preserve"> </w:t>
      </w:r>
      <w:r>
        <w:t>display</w:t>
      </w:r>
      <w:r>
        <w:rPr>
          <w:spacing w:val="-3"/>
        </w:rPr>
        <w:t xml:space="preserve"> </w:t>
      </w:r>
      <w:r>
        <w:t>of</w:t>
      </w:r>
      <w:r>
        <w:rPr>
          <w:spacing w:val="-3"/>
        </w:rPr>
        <w:t xml:space="preserve"> </w:t>
      </w:r>
      <w:r>
        <w:t>RYO</w:t>
      </w:r>
      <w:r>
        <w:rPr>
          <w:spacing w:val="-3"/>
        </w:rPr>
        <w:t xml:space="preserve"> </w:t>
      </w:r>
      <w:r>
        <w:t>tobacco and accessories than Quilmes and San Salvador de Jujuy.</w:t>
      </w:r>
    </w:p>
    <w:p w14:paraId="72568A95" w14:textId="77777777" w:rsidR="00A84015" w:rsidRDefault="00000000">
      <w:pPr>
        <w:pStyle w:val="Heading1"/>
      </w:pPr>
      <w:r>
        <w:rPr>
          <w:spacing w:val="-2"/>
        </w:rPr>
        <w:t>DISCUSSION</w:t>
      </w:r>
    </w:p>
    <w:p w14:paraId="7D0F5E93" w14:textId="77777777" w:rsidR="00A84015" w:rsidRDefault="00000000">
      <w:pPr>
        <w:pStyle w:val="BodyText"/>
        <w:spacing w:before="276" w:line="480" w:lineRule="auto"/>
        <w:ind w:right="1313"/>
        <w:jc w:val="both"/>
      </w:pPr>
      <w:r>
        <w:t>The study provides insight into the penetration of RYO tobacco in multiple Latin American countries. Aside from a single retailer in Guatemala, the display of this product was only observed in Argentina. This is consistent with the reported growth of RYO tobacco in the country</w:t>
      </w:r>
      <w:r>
        <w:rPr>
          <w:vertAlign w:val="superscript"/>
        </w:rPr>
        <w:t>15</w:t>
      </w:r>
      <w:r>
        <w:t>. The reasons behind the growing popularity of RYO in Argentina, reportedly used by 10% of adult smokers</w:t>
      </w:r>
      <w:r>
        <w:rPr>
          <w:vertAlign w:val="superscript"/>
        </w:rPr>
        <w:t>16</w:t>
      </w:r>
      <w:r>
        <w:t>, are not clear. This might be</w:t>
      </w:r>
      <w:r>
        <w:rPr>
          <w:spacing w:val="-4"/>
        </w:rPr>
        <w:t xml:space="preserve"> </w:t>
      </w:r>
      <w:r>
        <w:t>linked</w:t>
      </w:r>
      <w:r>
        <w:rPr>
          <w:spacing w:val="-4"/>
        </w:rPr>
        <w:t xml:space="preserve"> </w:t>
      </w:r>
      <w:r>
        <w:t>to</w:t>
      </w:r>
      <w:r>
        <w:rPr>
          <w:spacing w:val="-4"/>
        </w:rPr>
        <w:t xml:space="preserve"> </w:t>
      </w:r>
      <w:r>
        <w:t>Argentina’s</w:t>
      </w:r>
      <w:r>
        <w:rPr>
          <w:spacing w:val="-4"/>
        </w:rPr>
        <w:t xml:space="preserve"> </w:t>
      </w:r>
      <w:r>
        <w:t>ban</w:t>
      </w:r>
      <w:r>
        <w:rPr>
          <w:spacing w:val="-4"/>
        </w:rPr>
        <w:t xml:space="preserve"> </w:t>
      </w:r>
      <w:r>
        <w:t>on</w:t>
      </w:r>
      <w:r>
        <w:rPr>
          <w:spacing w:val="-4"/>
        </w:rPr>
        <w:t xml:space="preserve"> </w:t>
      </w:r>
      <w:r>
        <w:t>the</w:t>
      </w:r>
      <w:r>
        <w:rPr>
          <w:spacing w:val="-4"/>
        </w:rPr>
        <w:t xml:space="preserve"> </w:t>
      </w:r>
      <w:r>
        <w:t>sale of e-cigarettes and heated tobacco products, leading tobacco companies to instead focus on alternative products for Argentina. However, e-cigarettes and heated tobacco products are also banned in countries such as Mexico, where the use of RYO has not yet become popular.</w:t>
      </w:r>
    </w:p>
    <w:p w14:paraId="51AC35B2" w14:textId="77777777" w:rsidR="00A84015" w:rsidRDefault="00000000">
      <w:pPr>
        <w:pStyle w:val="BodyText"/>
        <w:spacing w:line="480" w:lineRule="auto"/>
        <w:ind w:right="1315" w:firstLine="720"/>
        <w:jc w:val="both"/>
      </w:pPr>
      <w:r>
        <w:t>Our</w:t>
      </w:r>
      <w:r>
        <w:rPr>
          <w:spacing w:val="-4"/>
        </w:rPr>
        <w:t xml:space="preserve"> </w:t>
      </w:r>
      <w:r>
        <w:t>observations</w:t>
      </w:r>
      <w:r>
        <w:rPr>
          <w:spacing w:val="-4"/>
        </w:rPr>
        <w:t xml:space="preserve"> </w:t>
      </w:r>
      <w:r>
        <w:t>indicate</w:t>
      </w:r>
      <w:r>
        <w:rPr>
          <w:spacing w:val="-4"/>
        </w:rPr>
        <w:t xml:space="preserve"> </w:t>
      </w:r>
      <w:r>
        <w:t>that</w:t>
      </w:r>
      <w:r>
        <w:rPr>
          <w:spacing w:val="-4"/>
        </w:rPr>
        <w:t xml:space="preserve"> </w:t>
      </w:r>
      <w:r>
        <w:t>RYO</w:t>
      </w:r>
      <w:r>
        <w:rPr>
          <w:spacing w:val="-4"/>
        </w:rPr>
        <w:t xml:space="preserve"> </w:t>
      </w:r>
      <w:r>
        <w:t>tobacco</w:t>
      </w:r>
      <w:r>
        <w:rPr>
          <w:spacing w:val="-4"/>
        </w:rPr>
        <w:t xml:space="preserve"> </w:t>
      </w:r>
      <w:r>
        <w:t>is</w:t>
      </w:r>
      <w:r>
        <w:rPr>
          <w:spacing w:val="-4"/>
        </w:rPr>
        <w:t xml:space="preserve"> </w:t>
      </w:r>
      <w:r>
        <w:t>more</w:t>
      </w:r>
      <w:r>
        <w:rPr>
          <w:spacing w:val="-4"/>
        </w:rPr>
        <w:t xml:space="preserve"> </w:t>
      </w:r>
      <w:r>
        <w:t>commonly</w:t>
      </w:r>
      <w:r>
        <w:rPr>
          <w:spacing w:val="-4"/>
        </w:rPr>
        <w:t xml:space="preserve"> </w:t>
      </w:r>
      <w:r>
        <w:t>displayed</w:t>
      </w:r>
      <w:r>
        <w:rPr>
          <w:spacing w:val="-4"/>
        </w:rPr>
        <w:t xml:space="preserve"> </w:t>
      </w:r>
      <w:r>
        <w:t>in</w:t>
      </w:r>
      <w:r>
        <w:rPr>
          <w:spacing w:val="-4"/>
        </w:rPr>
        <w:t xml:space="preserve"> </w:t>
      </w:r>
      <w:r>
        <w:t>high</w:t>
      </w:r>
      <w:r>
        <w:rPr>
          <w:spacing w:val="-4"/>
        </w:rPr>
        <w:t xml:space="preserve"> </w:t>
      </w:r>
      <w:r>
        <w:t>SES areas in Argentina, suggesting that consumption will be higher among those who are more affluent. In high-income countries, RYO tobacco consumption increases as SES decreases, due</w:t>
      </w:r>
      <w:r>
        <w:rPr>
          <w:spacing w:val="40"/>
        </w:rPr>
        <w:t xml:space="preserve"> </w:t>
      </w:r>
      <w:r>
        <w:t>to</w:t>
      </w:r>
      <w:r>
        <w:rPr>
          <w:spacing w:val="40"/>
        </w:rPr>
        <w:t xml:space="preserve"> </w:t>
      </w:r>
      <w:r>
        <w:t>its</w:t>
      </w:r>
      <w:r>
        <w:rPr>
          <w:spacing w:val="40"/>
        </w:rPr>
        <w:t xml:space="preserve"> </w:t>
      </w:r>
      <w:r>
        <w:t>lower</w:t>
      </w:r>
      <w:r>
        <w:rPr>
          <w:spacing w:val="40"/>
        </w:rPr>
        <w:t xml:space="preserve"> </w:t>
      </w:r>
      <w:r>
        <w:t>cost</w:t>
      </w:r>
      <w:r>
        <w:rPr>
          <w:vertAlign w:val="superscript"/>
        </w:rPr>
        <w:t>17</w:t>
      </w:r>
      <w:r>
        <w:t>.</w:t>
      </w:r>
      <w:r>
        <w:rPr>
          <w:spacing w:val="40"/>
        </w:rPr>
        <w:t xml:space="preserve"> </w:t>
      </w:r>
      <w:r>
        <w:t>As</w:t>
      </w:r>
      <w:r>
        <w:rPr>
          <w:spacing w:val="40"/>
        </w:rPr>
        <w:t xml:space="preserve"> </w:t>
      </w:r>
      <w:r>
        <w:t>lower</w:t>
      </w:r>
      <w:r>
        <w:rPr>
          <w:spacing w:val="40"/>
        </w:rPr>
        <w:t xml:space="preserve"> </w:t>
      </w:r>
      <w:r>
        <w:t>taxes</w:t>
      </w:r>
      <w:r>
        <w:rPr>
          <w:spacing w:val="40"/>
        </w:rPr>
        <w:t xml:space="preserve"> </w:t>
      </w:r>
      <w:r>
        <w:t>on</w:t>
      </w:r>
      <w:r>
        <w:rPr>
          <w:spacing w:val="40"/>
        </w:rPr>
        <w:t xml:space="preserve"> </w:t>
      </w:r>
      <w:r>
        <w:t>RYO</w:t>
      </w:r>
      <w:r>
        <w:rPr>
          <w:spacing w:val="40"/>
        </w:rPr>
        <w:t xml:space="preserve"> </w:t>
      </w:r>
      <w:r>
        <w:t>tobacco</w:t>
      </w:r>
      <w:r>
        <w:rPr>
          <w:spacing w:val="40"/>
        </w:rPr>
        <w:t xml:space="preserve"> </w:t>
      </w:r>
      <w:r>
        <w:t>in</w:t>
      </w:r>
      <w:r>
        <w:rPr>
          <w:spacing w:val="40"/>
        </w:rPr>
        <w:t xml:space="preserve"> </w:t>
      </w:r>
      <w:r>
        <w:t>Argentina,</w:t>
      </w:r>
      <w:r>
        <w:rPr>
          <w:spacing w:val="40"/>
        </w:rPr>
        <w:t xml:space="preserve"> </w:t>
      </w:r>
      <w:r>
        <w:t>compared</w:t>
      </w:r>
      <w:r>
        <w:rPr>
          <w:spacing w:val="40"/>
        </w:rPr>
        <w:t xml:space="preserve"> </w:t>
      </w:r>
      <w:r>
        <w:t>to factory-made cigarettes, also result in lower prices, our findings suggest that motivations beyond</w:t>
      </w:r>
      <w:r>
        <w:rPr>
          <w:spacing w:val="-2"/>
        </w:rPr>
        <w:t xml:space="preserve"> </w:t>
      </w:r>
      <w:r>
        <w:t>price</w:t>
      </w:r>
      <w:r>
        <w:rPr>
          <w:spacing w:val="-1"/>
        </w:rPr>
        <w:t xml:space="preserve"> </w:t>
      </w:r>
      <w:r>
        <w:t>may</w:t>
      </w:r>
      <w:r>
        <w:rPr>
          <w:spacing w:val="-2"/>
        </w:rPr>
        <w:t xml:space="preserve"> </w:t>
      </w:r>
      <w:r>
        <w:t>be</w:t>
      </w:r>
      <w:r>
        <w:rPr>
          <w:spacing w:val="-1"/>
        </w:rPr>
        <w:t xml:space="preserve"> </w:t>
      </w:r>
      <w:r>
        <w:t>driving</w:t>
      </w:r>
      <w:r>
        <w:rPr>
          <w:spacing w:val="-2"/>
        </w:rPr>
        <w:t xml:space="preserve"> </w:t>
      </w:r>
      <w:r>
        <w:t>the</w:t>
      </w:r>
      <w:r>
        <w:rPr>
          <w:spacing w:val="-1"/>
        </w:rPr>
        <w:t xml:space="preserve"> </w:t>
      </w:r>
      <w:r>
        <w:t>higher</w:t>
      </w:r>
      <w:r>
        <w:rPr>
          <w:spacing w:val="-2"/>
        </w:rPr>
        <w:t xml:space="preserve"> </w:t>
      </w:r>
      <w:r>
        <w:t>presence</w:t>
      </w:r>
      <w:r>
        <w:rPr>
          <w:spacing w:val="-1"/>
        </w:rPr>
        <w:t xml:space="preserve"> </w:t>
      </w:r>
      <w:r>
        <w:t>of</w:t>
      </w:r>
      <w:r>
        <w:rPr>
          <w:spacing w:val="-2"/>
        </w:rPr>
        <w:t xml:space="preserve"> </w:t>
      </w:r>
      <w:r>
        <w:t>RYO</w:t>
      </w:r>
      <w:r>
        <w:rPr>
          <w:spacing w:val="-1"/>
        </w:rPr>
        <w:t xml:space="preserve"> </w:t>
      </w:r>
      <w:r>
        <w:t>tobacco</w:t>
      </w:r>
      <w:r>
        <w:rPr>
          <w:spacing w:val="-2"/>
        </w:rPr>
        <w:t xml:space="preserve"> </w:t>
      </w:r>
      <w:r>
        <w:t>in</w:t>
      </w:r>
      <w:r>
        <w:rPr>
          <w:spacing w:val="-1"/>
        </w:rPr>
        <w:t xml:space="preserve"> </w:t>
      </w:r>
      <w:r>
        <w:t>affluent</w:t>
      </w:r>
      <w:r>
        <w:rPr>
          <w:spacing w:val="-1"/>
        </w:rPr>
        <w:t xml:space="preserve"> </w:t>
      </w:r>
      <w:r>
        <w:rPr>
          <w:spacing w:val="-2"/>
        </w:rPr>
        <w:t>neighbourhoods.</w:t>
      </w:r>
    </w:p>
    <w:p w14:paraId="5694D716"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270C56A3" w14:textId="77777777" w:rsidR="00A84015" w:rsidRDefault="00000000">
      <w:pPr>
        <w:pStyle w:val="BodyText"/>
        <w:spacing w:before="80" w:line="480" w:lineRule="auto"/>
        <w:ind w:right="1312"/>
        <w:jc w:val="both"/>
      </w:pPr>
      <w:r>
        <w:t>This may reflect a market segmentation strategy</w:t>
      </w:r>
      <w:r>
        <w:rPr>
          <w:vertAlign w:val="superscript"/>
        </w:rPr>
        <w:t>18</w:t>
      </w:r>
      <w:r>
        <w:t>, where tobacco companies offer a</w:t>
      </w:r>
      <w:r>
        <w:rPr>
          <w:spacing w:val="-4"/>
        </w:rPr>
        <w:t xml:space="preserve"> </w:t>
      </w:r>
      <w:r>
        <w:t>tailored product for consumers with higher purchasing power who may want to use tobacco that is (erroneously) viewed as more environmentally friendly and less harmful. As a higher initial outlay is required to purchase RYO, given pack sizes are typically larger and the need for accessories such as papers and filters (if not included), this may also explain why tobacco companies target retailers in areas where consumers would find it easier to afford. This strategic targeting of higher SES consumers might serve to increase visibility, with the aim being to capture a broader consumer base in the future. Given the lack of research on this topic, exploring patterns of RYO tobacco consumption in Argentina by SES and the</w:t>
      </w:r>
      <w:r>
        <w:rPr>
          <w:spacing w:val="-3"/>
        </w:rPr>
        <w:t xml:space="preserve"> </w:t>
      </w:r>
      <w:r>
        <w:t>reasons for choosing this product would be of significant value.</w:t>
      </w:r>
    </w:p>
    <w:p w14:paraId="1F64776B" w14:textId="77777777" w:rsidR="00A84015" w:rsidRDefault="00000000">
      <w:pPr>
        <w:pStyle w:val="BodyText"/>
        <w:spacing w:line="480" w:lineRule="auto"/>
        <w:ind w:right="1312" w:firstLine="720"/>
        <w:jc w:val="both"/>
      </w:pPr>
      <w:r>
        <w:t>RYO tobacco and accessories were predominantly observed in Cordoba and Santa Rosa. Both cities are in provinces with per capita household incomes above the national average, whereas Quilmes and San Salvador de Jujuy are in provinces with incomes below it</w:t>
      </w:r>
      <w:r>
        <w:rPr>
          <w:vertAlign w:val="superscript"/>
        </w:rPr>
        <w:t>19</w:t>
      </w:r>
      <w:r>
        <w:t>. As RYO tobacco and accessories were more prevalent in areas</w:t>
      </w:r>
      <w:r>
        <w:rPr>
          <w:spacing w:val="-5"/>
        </w:rPr>
        <w:t xml:space="preserve"> </w:t>
      </w:r>
      <w:r>
        <w:t>with</w:t>
      </w:r>
      <w:r>
        <w:rPr>
          <w:spacing w:val="-5"/>
        </w:rPr>
        <w:t xml:space="preserve"> </w:t>
      </w:r>
      <w:r>
        <w:t>high</w:t>
      </w:r>
      <w:r>
        <w:rPr>
          <w:spacing w:val="-5"/>
        </w:rPr>
        <w:t xml:space="preserve"> </w:t>
      </w:r>
      <w:r>
        <w:t>SES,</w:t>
      </w:r>
      <w:r>
        <w:rPr>
          <w:spacing w:val="-5"/>
        </w:rPr>
        <w:t xml:space="preserve"> </w:t>
      </w:r>
      <w:r>
        <w:t>city-level income may be a contributing factor to</w:t>
      </w:r>
      <w:r>
        <w:rPr>
          <w:spacing w:val="-3"/>
        </w:rPr>
        <w:t xml:space="preserve"> </w:t>
      </w:r>
      <w:r>
        <w:t>the</w:t>
      </w:r>
      <w:r>
        <w:rPr>
          <w:spacing w:val="-3"/>
        </w:rPr>
        <w:t xml:space="preserve"> </w:t>
      </w:r>
      <w:r>
        <w:t>heightened</w:t>
      </w:r>
      <w:r>
        <w:rPr>
          <w:spacing w:val="-3"/>
        </w:rPr>
        <w:t xml:space="preserve"> </w:t>
      </w:r>
      <w:r>
        <w:t>presence</w:t>
      </w:r>
      <w:r>
        <w:rPr>
          <w:spacing w:val="-3"/>
        </w:rPr>
        <w:t xml:space="preserve"> </w:t>
      </w:r>
      <w:r>
        <w:t>of</w:t>
      </w:r>
      <w:r>
        <w:rPr>
          <w:spacing w:val="-3"/>
        </w:rPr>
        <w:t xml:space="preserve"> </w:t>
      </w:r>
      <w:r>
        <w:t>these</w:t>
      </w:r>
      <w:r>
        <w:rPr>
          <w:spacing w:val="-3"/>
        </w:rPr>
        <w:t xml:space="preserve"> </w:t>
      </w:r>
      <w:r>
        <w:t>products</w:t>
      </w:r>
      <w:r>
        <w:rPr>
          <w:spacing w:val="-3"/>
        </w:rPr>
        <w:t xml:space="preserve"> </w:t>
      </w:r>
      <w:r>
        <w:t>in</w:t>
      </w:r>
      <w:r>
        <w:rPr>
          <w:spacing w:val="-3"/>
        </w:rPr>
        <w:t xml:space="preserve"> </w:t>
      </w:r>
      <w:r>
        <w:t>Cordoba and Santa Rosa. Even if this is the case, this finding is noteworthy as Cordoba and Santa Rosa, unlike Quilmes and San Salvador de Jujuy, have restrictive</w:t>
      </w:r>
      <w:r>
        <w:rPr>
          <w:spacing w:val="-4"/>
        </w:rPr>
        <w:t xml:space="preserve"> </w:t>
      </w:r>
      <w:r>
        <w:t>local</w:t>
      </w:r>
      <w:r>
        <w:rPr>
          <w:spacing w:val="-4"/>
        </w:rPr>
        <w:t xml:space="preserve"> </w:t>
      </w:r>
      <w:r>
        <w:t>tobacco</w:t>
      </w:r>
      <w:r>
        <w:rPr>
          <w:spacing w:val="-4"/>
        </w:rPr>
        <w:t xml:space="preserve"> </w:t>
      </w:r>
      <w:r>
        <w:t>control</w:t>
      </w:r>
      <w:r>
        <w:rPr>
          <w:spacing w:val="-4"/>
        </w:rPr>
        <w:t xml:space="preserve"> </w:t>
      </w:r>
      <w:r>
        <w:t>laws. In these cities, the advertising and the open display of tobacco products, and accessories in</w:t>
      </w:r>
      <w:r>
        <w:rPr>
          <w:spacing w:val="40"/>
        </w:rPr>
        <w:t xml:space="preserve"> </w:t>
      </w:r>
      <w:r>
        <w:t>the case of Cordoba, are banned at POS. Therefore, the RYO tobacco packs</w:t>
      </w:r>
      <w:r>
        <w:rPr>
          <w:spacing w:val="-3"/>
        </w:rPr>
        <w:t xml:space="preserve"> </w:t>
      </w:r>
      <w:r>
        <w:t>observed</w:t>
      </w:r>
      <w:r>
        <w:rPr>
          <w:spacing w:val="-3"/>
        </w:rPr>
        <w:t xml:space="preserve"> </w:t>
      </w:r>
      <w:r>
        <w:t>in</w:t>
      </w:r>
      <w:r>
        <w:rPr>
          <w:spacing w:val="-3"/>
        </w:rPr>
        <w:t xml:space="preserve"> </w:t>
      </w:r>
      <w:r>
        <w:t>this study are illegally displayed at POS. Research with</w:t>
      </w:r>
      <w:r>
        <w:rPr>
          <w:spacing w:val="-3"/>
        </w:rPr>
        <w:t xml:space="preserve"> </w:t>
      </w:r>
      <w:r>
        <w:t>retailers</w:t>
      </w:r>
      <w:r>
        <w:rPr>
          <w:spacing w:val="-3"/>
        </w:rPr>
        <w:t xml:space="preserve"> </w:t>
      </w:r>
      <w:r>
        <w:t>exploring</w:t>
      </w:r>
      <w:r>
        <w:rPr>
          <w:spacing w:val="-3"/>
        </w:rPr>
        <w:t xml:space="preserve"> </w:t>
      </w:r>
      <w:r>
        <w:t>their</w:t>
      </w:r>
      <w:r>
        <w:rPr>
          <w:spacing w:val="-3"/>
        </w:rPr>
        <w:t xml:space="preserve"> </w:t>
      </w:r>
      <w:r>
        <w:t>understanding</w:t>
      </w:r>
      <w:r>
        <w:rPr>
          <w:spacing w:val="-3"/>
        </w:rPr>
        <w:t xml:space="preserve"> </w:t>
      </w:r>
      <w:r>
        <w:t xml:space="preserve">of these regulations, and any communication with tobacco company representatives about the laws, would be of value, but the findings underscore the need to monitor compliance with </w:t>
      </w:r>
      <w:r>
        <w:rPr>
          <w:spacing w:val="-2"/>
        </w:rPr>
        <w:t>regulations.</w:t>
      </w:r>
    </w:p>
    <w:p w14:paraId="6C46134B" w14:textId="77777777" w:rsidR="00A84015" w:rsidRDefault="00000000">
      <w:pPr>
        <w:pStyle w:val="BodyText"/>
        <w:spacing w:line="480" w:lineRule="auto"/>
        <w:ind w:right="1317" w:firstLine="720"/>
        <w:jc w:val="both"/>
      </w:pPr>
      <w:r>
        <w:t>This</w:t>
      </w:r>
      <w:r>
        <w:rPr>
          <w:spacing w:val="-3"/>
        </w:rPr>
        <w:t xml:space="preserve"> </w:t>
      </w:r>
      <w:r>
        <w:t>study</w:t>
      </w:r>
      <w:r>
        <w:rPr>
          <w:spacing w:val="-3"/>
        </w:rPr>
        <w:t xml:space="preserve"> </w:t>
      </w:r>
      <w:r>
        <w:t>has</w:t>
      </w:r>
      <w:r>
        <w:rPr>
          <w:spacing w:val="-3"/>
        </w:rPr>
        <w:t xml:space="preserve"> </w:t>
      </w:r>
      <w:r>
        <w:t>several</w:t>
      </w:r>
      <w:r>
        <w:rPr>
          <w:spacing w:val="-3"/>
        </w:rPr>
        <w:t xml:space="preserve"> </w:t>
      </w:r>
      <w:r>
        <w:t>limitations.</w:t>
      </w:r>
      <w:r>
        <w:rPr>
          <w:spacing w:val="-3"/>
        </w:rPr>
        <w:t xml:space="preserve"> </w:t>
      </w:r>
      <w:r>
        <w:t>The</w:t>
      </w:r>
      <w:r>
        <w:rPr>
          <w:spacing w:val="-3"/>
        </w:rPr>
        <w:t xml:space="preserve"> </w:t>
      </w:r>
      <w:r>
        <w:t>sample</w:t>
      </w:r>
      <w:r>
        <w:rPr>
          <w:spacing w:val="-3"/>
        </w:rPr>
        <w:t xml:space="preserve"> </w:t>
      </w:r>
      <w:r>
        <w:t>is</w:t>
      </w:r>
      <w:r>
        <w:rPr>
          <w:spacing w:val="-3"/>
        </w:rPr>
        <w:t xml:space="preserve"> </w:t>
      </w:r>
      <w:r>
        <w:t>not</w:t>
      </w:r>
      <w:r>
        <w:rPr>
          <w:spacing w:val="-3"/>
        </w:rPr>
        <w:t xml:space="preserve"> </w:t>
      </w:r>
      <w:r>
        <w:t>representative</w:t>
      </w:r>
      <w:r>
        <w:rPr>
          <w:spacing w:val="-3"/>
        </w:rPr>
        <w:t xml:space="preserve"> </w:t>
      </w:r>
      <w:r>
        <w:t>of</w:t>
      </w:r>
      <w:r>
        <w:rPr>
          <w:spacing w:val="-3"/>
        </w:rPr>
        <w:t xml:space="preserve"> </w:t>
      </w:r>
      <w:r>
        <w:t>all</w:t>
      </w:r>
      <w:r>
        <w:rPr>
          <w:spacing w:val="-3"/>
        </w:rPr>
        <w:t xml:space="preserve"> </w:t>
      </w:r>
      <w:r>
        <w:t>the</w:t>
      </w:r>
      <w:r>
        <w:rPr>
          <w:spacing w:val="-3"/>
        </w:rPr>
        <w:t xml:space="preserve"> </w:t>
      </w:r>
      <w:r>
        <w:t>countries included.</w:t>
      </w:r>
      <w:r>
        <w:rPr>
          <w:spacing w:val="13"/>
        </w:rPr>
        <w:t xml:space="preserve"> </w:t>
      </w:r>
      <w:r>
        <w:t>However, the</w:t>
      </w:r>
      <w:r>
        <w:rPr>
          <w:spacing w:val="-1"/>
        </w:rPr>
        <w:t xml:space="preserve"> </w:t>
      </w:r>
      <w:r>
        <w:t>cities</w:t>
      </w:r>
      <w:r>
        <w:rPr>
          <w:spacing w:val="-1"/>
        </w:rPr>
        <w:t xml:space="preserve"> </w:t>
      </w:r>
      <w:r>
        <w:t>in</w:t>
      </w:r>
      <w:r>
        <w:rPr>
          <w:spacing w:val="-1"/>
        </w:rPr>
        <w:t xml:space="preserve"> </w:t>
      </w:r>
      <w:r>
        <w:t>each</w:t>
      </w:r>
      <w:r>
        <w:rPr>
          <w:spacing w:val="-1"/>
        </w:rPr>
        <w:t xml:space="preserve"> </w:t>
      </w:r>
      <w:r>
        <w:t>country were</w:t>
      </w:r>
      <w:r>
        <w:rPr>
          <w:spacing w:val="-1"/>
        </w:rPr>
        <w:t xml:space="preserve"> </w:t>
      </w:r>
      <w:r>
        <w:t>intentionally</w:t>
      </w:r>
      <w:r>
        <w:rPr>
          <w:spacing w:val="-1"/>
        </w:rPr>
        <w:t xml:space="preserve"> </w:t>
      </w:r>
      <w:r>
        <w:t>selected</w:t>
      </w:r>
      <w:r>
        <w:rPr>
          <w:spacing w:val="-1"/>
        </w:rPr>
        <w:t xml:space="preserve"> </w:t>
      </w:r>
      <w:r>
        <w:t>to</w:t>
      </w:r>
      <w:r>
        <w:rPr>
          <w:spacing w:val="-1"/>
        </w:rPr>
        <w:t xml:space="preserve"> </w:t>
      </w:r>
      <w:r>
        <w:t xml:space="preserve">increase </w:t>
      </w:r>
      <w:r>
        <w:rPr>
          <w:spacing w:val="-4"/>
        </w:rPr>
        <w:t>diversity.</w:t>
      </w:r>
    </w:p>
    <w:p w14:paraId="575F12C4" w14:textId="77777777" w:rsidR="00A84015" w:rsidRDefault="00A84015">
      <w:pPr>
        <w:pStyle w:val="BodyText"/>
        <w:spacing w:line="480" w:lineRule="auto"/>
        <w:jc w:val="both"/>
        <w:sectPr w:rsidR="00A84015">
          <w:pgSz w:w="11920" w:h="16840"/>
          <w:pgMar w:top="1360" w:right="141" w:bottom="280" w:left="141" w:header="720" w:footer="720" w:gutter="0"/>
          <w:cols w:space="720"/>
        </w:sectPr>
      </w:pPr>
    </w:p>
    <w:p w14:paraId="755FC00B" w14:textId="77777777" w:rsidR="00A84015" w:rsidRDefault="00000000">
      <w:pPr>
        <w:pStyle w:val="BodyText"/>
        <w:spacing w:before="60" w:line="480" w:lineRule="auto"/>
        <w:ind w:right="1314"/>
        <w:jc w:val="both"/>
      </w:pPr>
      <w:r>
        <w:t>To ensure sample heterogeneity, areas within each city were stratified based on SES, and quotas were established (one-third of the sample to each level). Although the codebook captured whether RYO tobacco and accessories were</w:t>
      </w:r>
      <w:r>
        <w:rPr>
          <w:spacing w:val="-3"/>
        </w:rPr>
        <w:t xml:space="preserve"> </w:t>
      </w:r>
      <w:r>
        <w:t>visible</w:t>
      </w:r>
      <w:r>
        <w:rPr>
          <w:spacing w:val="-3"/>
        </w:rPr>
        <w:t xml:space="preserve"> </w:t>
      </w:r>
      <w:r>
        <w:t>at</w:t>
      </w:r>
      <w:r>
        <w:rPr>
          <w:spacing w:val="-3"/>
        </w:rPr>
        <w:t xml:space="preserve"> </w:t>
      </w:r>
      <w:r>
        <w:t>the</w:t>
      </w:r>
      <w:r>
        <w:rPr>
          <w:spacing w:val="-3"/>
        </w:rPr>
        <w:t xml:space="preserve"> </w:t>
      </w:r>
      <w:r>
        <w:t>POS,</w:t>
      </w:r>
      <w:r>
        <w:rPr>
          <w:spacing w:val="-3"/>
        </w:rPr>
        <w:t xml:space="preserve"> </w:t>
      </w:r>
      <w:r>
        <w:t>and</w:t>
      </w:r>
      <w:r>
        <w:rPr>
          <w:spacing w:val="-3"/>
        </w:rPr>
        <w:t xml:space="preserve"> </w:t>
      </w:r>
      <w:r>
        <w:t>if</w:t>
      </w:r>
      <w:r>
        <w:rPr>
          <w:spacing w:val="-3"/>
        </w:rPr>
        <w:t xml:space="preserve"> </w:t>
      </w:r>
      <w:r>
        <w:t>there</w:t>
      </w:r>
      <w:r>
        <w:rPr>
          <w:spacing w:val="-3"/>
        </w:rPr>
        <w:t xml:space="preserve"> </w:t>
      </w:r>
      <w:r>
        <w:t>was</w:t>
      </w:r>
      <w:r>
        <w:rPr>
          <w:spacing w:val="-3"/>
        </w:rPr>
        <w:t xml:space="preserve"> </w:t>
      </w:r>
      <w:r>
        <w:t>any advertising of these products, we</w:t>
      </w:r>
      <w:r>
        <w:rPr>
          <w:spacing w:val="-3"/>
        </w:rPr>
        <w:t xml:space="preserve"> </w:t>
      </w:r>
      <w:r>
        <w:t>are</w:t>
      </w:r>
      <w:r>
        <w:rPr>
          <w:spacing w:val="-3"/>
        </w:rPr>
        <w:t xml:space="preserve"> </w:t>
      </w:r>
      <w:r>
        <w:t>unable</w:t>
      </w:r>
      <w:r>
        <w:rPr>
          <w:spacing w:val="-3"/>
        </w:rPr>
        <w:t xml:space="preserve"> </w:t>
      </w:r>
      <w:r>
        <w:t>to</w:t>
      </w:r>
      <w:r>
        <w:rPr>
          <w:spacing w:val="-3"/>
        </w:rPr>
        <w:t xml:space="preserve"> </w:t>
      </w:r>
      <w:r>
        <w:t>offer</w:t>
      </w:r>
      <w:r>
        <w:rPr>
          <w:spacing w:val="-3"/>
        </w:rPr>
        <w:t xml:space="preserve"> </w:t>
      </w:r>
      <w:r>
        <w:t>additional</w:t>
      </w:r>
      <w:r>
        <w:rPr>
          <w:spacing w:val="-3"/>
        </w:rPr>
        <w:t xml:space="preserve"> </w:t>
      </w:r>
      <w:r>
        <w:t>detail</w:t>
      </w:r>
      <w:r>
        <w:rPr>
          <w:spacing w:val="-3"/>
        </w:rPr>
        <w:t xml:space="preserve"> </w:t>
      </w:r>
      <w:r>
        <w:t>on</w:t>
      </w:r>
      <w:r>
        <w:rPr>
          <w:spacing w:val="-3"/>
        </w:rPr>
        <w:t xml:space="preserve"> </w:t>
      </w:r>
      <w:r>
        <w:t>the</w:t>
      </w:r>
      <w:r>
        <w:rPr>
          <w:spacing w:val="-3"/>
        </w:rPr>
        <w:t xml:space="preserve"> </w:t>
      </w:r>
      <w:r>
        <w:t>variety</w:t>
      </w:r>
      <w:r>
        <w:rPr>
          <w:spacing w:val="-3"/>
        </w:rPr>
        <w:t xml:space="preserve"> </w:t>
      </w:r>
      <w:r>
        <w:t>and</w:t>
      </w:r>
      <w:r>
        <w:rPr>
          <w:spacing w:val="-3"/>
        </w:rPr>
        <w:t xml:space="preserve"> </w:t>
      </w:r>
      <w:r>
        <w:t>types of RYO and accessories displayed at the POS, or the number and content of adverts.</w:t>
      </w:r>
      <w:r>
        <w:rPr>
          <w:spacing w:val="-4"/>
        </w:rPr>
        <w:t xml:space="preserve"> </w:t>
      </w:r>
      <w:r>
        <w:t>We</w:t>
      </w:r>
      <w:r>
        <w:rPr>
          <w:spacing w:val="-4"/>
        </w:rPr>
        <w:t xml:space="preserve"> </w:t>
      </w:r>
      <w:r>
        <w:t>are also unable</w:t>
      </w:r>
      <w:r>
        <w:rPr>
          <w:spacing w:val="-4"/>
        </w:rPr>
        <w:t xml:space="preserve"> </w:t>
      </w:r>
      <w:r>
        <w:t>to</w:t>
      </w:r>
      <w:r>
        <w:rPr>
          <w:spacing w:val="-4"/>
        </w:rPr>
        <w:t xml:space="preserve"> </w:t>
      </w:r>
      <w:r>
        <w:t>provide</w:t>
      </w:r>
      <w:r>
        <w:rPr>
          <w:spacing w:val="-4"/>
        </w:rPr>
        <w:t xml:space="preserve"> </w:t>
      </w:r>
      <w:r>
        <w:t>more</w:t>
      </w:r>
      <w:r>
        <w:rPr>
          <w:spacing w:val="-4"/>
        </w:rPr>
        <w:t xml:space="preserve"> </w:t>
      </w:r>
      <w:r>
        <w:t>detail</w:t>
      </w:r>
      <w:r>
        <w:rPr>
          <w:spacing w:val="-4"/>
        </w:rPr>
        <w:t xml:space="preserve"> </w:t>
      </w:r>
      <w:r>
        <w:t>about</w:t>
      </w:r>
      <w:r>
        <w:rPr>
          <w:spacing w:val="-4"/>
        </w:rPr>
        <w:t xml:space="preserve"> </w:t>
      </w:r>
      <w:r>
        <w:t>the</w:t>
      </w:r>
      <w:r>
        <w:rPr>
          <w:spacing w:val="-4"/>
        </w:rPr>
        <w:t xml:space="preserve"> </w:t>
      </w:r>
      <w:r>
        <w:t>promotional</w:t>
      </w:r>
      <w:r>
        <w:rPr>
          <w:spacing w:val="-4"/>
        </w:rPr>
        <w:t xml:space="preserve"> </w:t>
      </w:r>
      <w:r>
        <w:t>characteristics</w:t>
      </w:r>
      <w:r>
        <w:rPr>
          <w:spacing w:val="-4"/>
        </w:rPr>
        <w:t xml:space="preserve"> </w:t>
      </w:r>
      <w:r>
        <w:t>of</w:t>
      </w:r>
      <w:r>
        <w:rPr>
          <w:spacing w:val="-4"/>
        </w:rPr>
        <w:t xml:space="preserve"> </w:t>
      </w:r>
      <w:r>
        <w:t>RYO</w:t>
      </w:r>
      <w:r>
        <w:rPr>
          <w:spacing w:val="-4"/>
        </w:rPr>
        <w:t xml:space="preserve"> </w:t>
      </w:r>
      <w:r>
        <w:t>packaging</w:t>
      </w:r>
      <w:r>
        <w:rPr>
          <w:spacing w:val="-4"/>
        </w:rPr>
        <w:t xml:space="preserve"> </w:t>
      </w:r>
      <w:r>
        <w:t>or compliance with warning regulations, which may be a fruitful area of future research.</w:t>
      </w:r>
    </w:p>
    <w:p w14:paraId="755753D7" w14:textId="77777777" w:rsidR="00A84015" w:rsidRDefault="00000000">
      <w:pPr>
        <w:pStyle w:val="BodyText"/>
        <w:spacing w:line="480" w:lineRule="auto"/>
        <w:ind w:right="1314" w:firstLine="720"/>
        <w:jc w:val="both"/>
      </w:pPr>
      <w:r>
        <w:t>The tobacco industry is introducing new products in Latin America to enhance its sales</w:t>
      </w:r>
      <w:r>
        <w:rPr>
          <w:vertAlign w:val="superscript"/>
        </w:rPr>
        <w:t>12,20</w:t>
      </w:r>
      <w:r>
        <w:t>, with cigarettes with flavour capsules in the filter as a particularly successful example</w:t>
      </w:r>
      <w:r>
        <w:rPr>
          <w:vertAlign w:val="superscript"/>
        </w:rPr>
        <w:t>21</w:t>
      </w:r>
      <w:r>
        <w:t>. While we found that RYO tobacco was generally limited to Argentina,</w:t>
      </w:r>
      <w:r>
        <w:rPr>
          <w:spacing w:val="-5"/>
        </w:rPr>
        <w:t xml:space="preserve"> </w:t>
      </w:r>
      <w:r>
        <w:t>continued monitoring in the region is needed to explore whether tobacco companies make this</w:t>
      </w:r>
      <w:r>
        <w:rPr>
          <w:spacing w:val="-2"/>
        </w:rPr>
        <w:t xml:space="preserve"> </w:t>
      </w:r>
      <w:r>
        <w:t>product more widely available, and how consumers respond.</w:t>
      </w:r>
    </w:p>
    <w:p w14:paraId="32384409" w14:textId="77777777" w:rsidR="00A84015" w:rsidRDefault="00A84015">
      <w:pPr>
        <w:pStyle w:val="BodyText"/>
        <w:ind w:left="0"/>
      </w:pPr>
    </w:p>
    <w:p w14:paraId="3396DA86" w14:textId="77777777" w:rsidR="00A84015" w:rsidRDefault="00000000">
      <w:pPr>
        <w:pStyle w:val="Heading2"/>
        <w:spacing w:before="276"/>
      </w:pPr>
      <w:r>
        <w:rPr>
          <w:spacing w:val="-2"/>
        </w:rPr>
        <w:t>Funding</w:t>
      </w:r>
    </w:p>
    <w:p w14:paraId="3D4A0492" w14:textId="77777777" w:rsidR="00A84015" w:rsidRDefault="00000000">
      <w:pPr>
        <w:pStyle w:val="BodyText"/>
        <w:spacing w:before="276" w:line="480" w:lineRule="auto"/>
        <w:ind w:right="1312"/>
        <w:jc w:val="both"/>
      </w:pPr>
      <w:r>
        <w:t>This work is part of the ‘REmoving the MArketing Power of cigarettes' (REMAP) project, funded by the Medical Research Council (MR/X004279/1).</w:t>
      </w:r>
    </w:p>
    <w:p w14:paraId="5B9E303A" w14:textId="77777777" w:rsidR="00A84015" w:rsidRDefault="00A84015">
      <w:pPr>
        <w:pStyle w:val="BodyText"/>
        <w:spacing w:before="275"/>
        <w:ind w:left="0"/>
      </w:pPr>
    </w:p>
    <w:p w14:paraId="5EACFD15" w14:textId="77777777" w:rsidR="00A84015" w:rsidRDefault="00000000">
      <w:pPr>
        <w:pStyle w:val="Heading2"/>
        <w:spacing w:before="1"/>
      </w:pPr>
      <w:r>
        <w:t xml:space="preserve">Declaration of </w:t>
      </w:r>
      <w:r>
        <w:rPr>
          <w:spacing w:val="-2"/>
        </w:rPr>
        <w:t>Interests</w:t>
      </w:r>
    </w:p>
    <w:p w14:paraId="2D75EA91" w14:textId="77777777" w:rsidR="00A84015" w:rsidRDefault="00000000">
      <w:pPr>
        <w:pStyle w:val="BodyText"/>
        <w:spacing w:before="276"/>
      </w:pPr>
      <w:r>
        <w:t xml:space="preserve">None </w:t>
      </w:r>
      <w:r>
        <w:rPr>
          <w:spacing w:val="-2"/>
        </w:rPr>
        <w:t>declared.</w:t>
      </w:r>
    </w:p>
    <w:p w14:paraId="1FB491A6" w14:textId="77777777" w:rsidR="00A84015" w:rsidRDefault="00A84015">
      <w:pPr>
        <w:pStyle w:val="BodyText"/>
        <w:ind w:left="0"/>
      </w:pPr>
    </w:p>
    <w:p w14:paraId="6D444007" w14:textId="77777777" w:rsidR="00A84015" w:rsidRDefault="00A84015">
      <w:pPr>
        <w:pStyle w:val="BodyText"/>
        <w:spacing w:before="275"/>
        <w:ind w:left="0"/>
      </w:pPr>
    </w:p>
    <w:p w14:paraId="6E594B9E" w14:textId="77777777" w:rsidR="00A84015" w:rsidRDefault="00000000">
      <w:pPr>
        <w:pStyle w:val="Heading2"/>
        <w:spacing w:before="1"/>
      </w:pPr>
      <w:r>
        <w:t xml:space="preserve">Data </w:t>
      </w:r>
      <w:r>
        <w:rPr>
          <w:spacing w:val="-2"/>
        </w:rPr>
        <w:t>Availability</w:t>
      </w:r>
    </w:p>
    <w:p w14:paraId="72B6EEFF" w14:textId="77777777" w:rsidR="00A84015" w:rsidRDefault="00000000">
      <w:pPr>
        <w:pStyle w:val="BodyText"/>
        <w:spacing w:before="276" w:line="480" w:lineRule="auto"/>
        <w:ind w:right="1324"/>
        <w:jc w:val="both"/>
      </w:pPr>
      <w:r>
        <w:t>Data will be available for sharing, upon reasonable request to Crawford Moodie (</w:t>
      </w:r>
      <w:hyperlink r:id="rId7">
        <w:r>
          <w:rPr>
            <w:color w:val="1154CC"/>
            <w:u w:val="thick" w:color="1154CC"/>
          </w:rPr>
          <w:t>c.s.moodie@stir.ac.uk</w:t>
        </w:r>
      </w:hyperlink>
      <w:r>
        <w:t>), when all planned articles are published or in July 2025.</w:t>
      </w:r>
    </w:p>
    <w:p w14:paraId="6EFB9D8D"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45D8203C" w14:textId="77777777" w:rsidR="00A84015" w:rsidRDefault="00000000">
      <w:pPr>
        <w:pStyle w:val="Heading2"/>
        <w:spacing w:before="60"/>
      </w:pPr>
      <w:r>
        <w:rPr>
          <w:spacing w:val="-2"/>
        </w:rPr>
        <w:t>Acknowledgments</w:t>
      </w:r>
    </w:p>
    <w:p w14:paraId="0F597AF0" w14:textId="77777777" w:rsidR="00A84015" w:rsidRDefault="00000000">
      <w:pPr>
        <w:pStyle w:val="BodyText"/>
        <w:spacing w:before="276" w:line="480" w:lineRule="auto"/>
        <w:ind w:right="1312"/>
        <w:jc w:val="both"/>
      </w:pPr>
      <w:r>
        <w:t>The</w:t>
      </w:r>
      <w:r>
        <w:rPr>
          <w:spacing w:val="-3"/>
        </w:rPr>
        <w:t xml:space="preserve"> </w:t>
      </w:r>
      <w:r>
        <w:t>REMAP</w:t>
      </w:r>
      <w:r>
        <w:rPr>
          <w:spacing w:val="-3"/>
        </w:rPr>
        <w:t xml:space="preserve"> </w:t>
      </w:r>
      <w:r>
        <w:t>team</w:t>
      </w:r>
      <w:r>
        <w:rPr>
          <w:spacing w:val="-3"/>
        </w:rPr>
        <w:t xml:space="preserve"> </w:t>
      </w:r>
      <w:r>
        <w:t>comprises</w:t>
      </w:r>
      <w:r>
        <w:rPr>
          <w:spacing w:val="-3"/>
        </w:rPr>
        <w:t xml:space="preserve"> </w:t>
      </w:r>
      <w:r>
        <w:t>Raul</w:t>
      </w:r>
      <w:r>
        <w:rPr>
          <w:spacing w:val="-3"/>
        </w:rPr>
        <w:t xml:space="preserve"> </w:t>
      </w:r>
      <w:r>
        <w:t>Mejia,</w:t>
      </w:r>
      <w:r>
        <w:rPr>
          <w:spacing w:val="-3"/>
        </w:rPr>
        <w:t xml:space="preserve"> </w:t>
      </w:r>
      <w:r>
        <w:t>María</w:t>
      </w:r>
      <w:r>
        <w:rPr>
          <w:spacing w:val="-3"/>
        </w:rPr>
        <w:t xml:space="preserve"> </w:t>
      </w:r>
      <w:r>
        <w:t>Belén</w:t>
      </w:r>
      <w:r>
        <w:rPr>
          <w:spacing w:val="-3"/>
        </w:rPr>
        <w:t xml:space="preserve"> </w:t>
      </w:r>
      <w:r>
        <w:t>Arnaudo</w:t>
      </w:r>
      <w:r>
        <w:rPr>
          <w:spacing w:val="-3"/>
        </w:rPr>
        <w:t xml:space="preserve"> </w:t>
      </w:r>
      <w:r>
        <w:t>and</w:t>
      </w:r>
      <w:r>
        <w:rPr>
          <w:spacing w:val="-3"/>
        </w:rPr>
        <w:t xml:space="preserve"> </w:t>
      </w:r>
      <w:r>
        <w:t>Emilia</w:t>
      </w:r>
      <w:r>
        <w:rPr>
          <w:spacing w:val="-3"/>
        </w:rPr>
        <w:t xml:space="preserve"> </w:t>
      </w:r>
      <w:r>
        <w:t>Elicabe</w:t>
      </w:r>
      <w:r>
        <w:rPr>
          <w:spacing w:val="-3"/>
        </w:rPr>
        <w:t xml:space="preserve"> </w:t>
      </w:r>
      <w:r>
        <w:t>(CEDES, Argentina), Blanca Llorente (Fundación Anáas, Colombia), Attila Pohlmann (Universidad San Francisco de Quito, Ecuador),</w:t>
      </w:r>
      <w:r>
        <w:rPr>
          <w:spacing w:val="-3"/>
        </w:rPr>
        <w:t xml:space="preserve"> </w:t>
      </w:r>
      <w:r>
        <w:t>Sophia</w:t>
      </w:r>
      <w:r>
        <w:rPr>
          <w:spacing w:val="-3"/>
        </w:rPr>
        <w:t xml:space="preserve"> </w:t>
      </w:r>
      <w:r>
        <w:t>Mus,</w:t>
      </w:r>
      <w:r>
        <w:rPr>
          <w:spacing w:val="-3"/>
        </w:rPr>
        <w:t xml:space="preserve"> </w:t>
      </w:r>
      <w:r>
        <w:t>Aiken</w:t>
      </w:r>
      <w:r>
        <w:rPr>
          <w:spacing w:val="-3"/>
        </w:rPr>
        <w:t xml:space="preserve"> </w:t>
      </w:r>
      <w:r>
        <w:t>Chew</w:t>
      </w:r>
      <w:r>
        <w:rPr>
          <w:spacing w:val="-3"/>
        </w:rPr>
        <w:t xml:space="preserve"> </w:t>
      </w:r>
      <w:r>
        <w:t>and</w:t>
      </w:r>
      <w:r>
        <w:rPr>
          <w:spacing w:val="-3"/>
        </w:rPr>
        <w:t xml:space="preserve"> </w:t>
      </w:r>
      <w:r>
        <w:t>Gustavo</w:t>
      </w:r>
      <w:r>
        <w:rPr>
          <w:spacing w:val="-3"/>
        </w:rPr>
        <w:t xml:space="preserve"> </w:t>
      </w:r>
      <w:r>
        <w:t>Dávila</w:t>
      </w:r>
      <w:r>
        <w:rPr>
          <w:spacing w:val="-3"/>
        </w:rPr>
        <w:t xml:space="preserve"> </w:t>
      </w:r>
      <w:r>
        <w:t>(Fundación Aldo Castañeda and Universidad Landivar, Guatemala), Inti Barrientos, Carlos Filiberto Miguel-Aguilar and Mariel Cristina Palacios (INSP, México), Alfonso Zavaleta, Eva Chanamé and Abel Limache-García (CEDRO, Perú), James Thrasher (Arnold School of Public Health University of South Carolina), and Crawford Moodie, Isa</w:t>
      </w:r>
      <w:r>
        <w:rPr>
          <w:spacing w:val="-4"/>
        </w:rPr>
        <w:t xml:space="preserve"> </w:t>
      </w:r>
      <w:r>
        <w:t>Uny,</w:t>
      </w:r>
      <w:r>
        <w:rPr>
          <w:spacing w:val="-4"/>
        </w:rPr>
        <w:t xml:space="preserve"> </w:t>
      </w:r>
      <w:r>
        <w:t>Catherine</w:t>
      </w:r>
      <w:r>
        <w:rPr>
          <w:spacing w:val="-4"/>
        </w:rPr>
        <w:t xml:space="preserve"> </w:t>
      </w:r>
      <w:r>
        <w:t>Best and Georgia Alexandrou (Institute for Social Marketing and Health, University of Stirling).</w:t>
      </w:r>
    </w:p>
    <w:p w14:paraId="76CDF431" w14:textId="77777777" w:rsidR="00A84015" w:rsidRDefault="00A84015">
      <w:pPr>
        <w:pStyle w:val="BodyText"/>
        <w:spacing w:line="480" w:lineRule="auto"/>
        <w:jc w:val="both"/>
        <w:sectPr w:rsidR="00A84015">
          <w:pgSz w:w="11920" w:h="16840"/>
          <w:pgMar w:top="1380" w:right="141" w:bottom="280" w:left="141" w:header="720" w:footer="720" w:gutter="0"/>
          <w:cols w:space="720"/>
        </w:sectPr>
      </w:pPr>
    </w:p>
    <w:p w14:paraId="561E060B" w14:textId="77777777" w:rsidR="00A84015" w:rsidRDefault="00000000">
      <w:pPr>
        <w:pStyle w:val="Heading2"/>
        <w:spacing w:before="71"/>
      </w:pPr>
      <w:r>
        <w:rPr>
          <w:spacing w:val="-2"/>
        </w:rPr>
        <w:t>References</w:t>
      </w:r>
    </w:p>
    <w:p w14:paraId="58DAB2C7" w14:textId="77777777" w:rsidR="00A84015" w:rsidRDefault="00000000">
      <w:pPr>
        <w:pStyle w:val="ListParagraph"/>
        <w:numPr>
          <w:ilvl w:val="0"/>
          <w:numId w:val="1"/>
        </w:numPr>
        <w:tabs>
          <w:tab w:val="left" w:pos="1689"/>
        </w:tabs>
        <w:spacing w:before="276" w:line="480" w:lineRule="auto"/>
        <w:ind w:right="1695"/>
        <w:rPr>
          <w:sz w:val="24"/>
        </w:rPr>
      </w:pPr>
      <w:r>
        <w:rPr>
          <w:sz w:val="24"/>
        </w:rPr>
        <w:t>Moodie</w:t>
      </w:r>
      <w:r>
        <w:rPr>
          <w:spacing w:val="-4"/>
          <w:sz w:val="24"/>
        </w:rPr>
        <w:t xml:space="preserve"> </w:t>
      </w:r>
      <w:r>
        <w:rPr>
          <w:sz w:val="24"/>
        </w:rPr>
        <w:t>C,</w:t>
      </w:r>
      <w:r>
        <w:rPr>
          <w:spacing w:val="-4"/>
          <w:sz w:val="24"/>
        </w:rPr>
        <w:t xml:space="preserve"> </w:t>
      </w:r>
      <w:r>
        <w:rPr>
          <w:sz w:val="24"/>
        </w:rPr>
        <w:t>Stead</w:t>
      </w:r>
      <w:r>
        <w:rPr>
          <w:spacing w:val="-4"/>
          <w:sz w:val="24"/>
        </w:rPr>
        <w:t xml:space="preserve"> </w:t>
      </w:r>
      <w:r>
        <w:rPr>
          <w:sz w:val="24"/>
        </w:rPr>
        <w:t>M.</w:t>
      </w:r>
      <w:r>
        <w:rPr>
          <w:spacing w:val="-4"/>
          <w:sz w:val="24"/>
        </w:rPr>
        <w:t xml:space="preserve"> </w:t>
      </w:r>
      <w:r>
        <w:rPr>
          <w:sz w:val="24"/>
        </w:rPr>
        <w:t>The</w:t>
      </w:r>
      <w:r>
        <w:rPr>
          <w:spacing w:val="-4"/>
          <w:sz w:val="24"/>
        </w:rPr>
        <w:t xml:space="preserve"> </w:t>
      </w:r>
      <w:r>
        <w:rPr>
          <w:sz w:val="24"/>
        </w:rPr>
        <w:t>importance</w:t>
      </w:r>
      <w:r>
        <w:rPr>
          <w:spacing w:val="-4"/>
          <w:sz w:val="24"/>
        </w:rPr>
        <w:t xml:space="preserve"> </w:t>
      </w:r>
      <w:r>
        <w:rPr>
          <w:sz w:val="24"/>
        </w:rPr>
        <w:t>of</w:t>
      </w:r>
      <w:r>
        <w:rPr>
          <w:spacing w:val="-4"/>
          <w:sz w:val="24"/>
        </w:rPr>
        <w:t xml:space="preserve"> </w:t>
      </w:r>
      <w:r>
        <w:rPr>
          <w:sz w:val="24"/>
        </w:rPr>
        <w:t>loose</w:t>
      </w:r>
      <w:r>
        <w:rPr>
          <w:spacing w:val="-4"/>
          <w:sz w:val="24"/>
        </w:rPr>
        <w:t xml:space="preserve"> </w:t>
      </w:r>
      <w:r>
        <w:rPr>
          <w:sz w:val="24"/>
        </w:rPr>
        <w:t>tobacco</w:t>
      </w:r>
      <w:r>
        <w:rPr>
          <w:spacing w:val="-4"/>
          <w:sz w:val="24"/>
        </w:rPr>
        <w:t xml:space="preserve"> </w:t>
      </w:r>
      <w:r>
        <w:rPr>
          <w:sz w:val="24"/>
        </w:rPr>
        <w:t>when</w:t>
      </w:r>
      <w:r>
        <w:rPr>
          <w:spacing w:val="-4"/>
          <w:sz w:val="24"/>
        </w:rPr>
        <w:t xml:space="preserve"> </w:t>
      </w:r>
      <w:r>
        <w:rPr>
          <w:sz w:val="24"/>
        </w:rPr>
        <w:t>considering</w:t>
      </w:r>
      <w:r>
        <w:rPr>
          <w:spacing w:val="-4"/>
          <w:sz w:val="24"/>
        </w:rPr>
        <w:t xml:space="preserve"> </w:t>
      </w:r>
      <w:r>
        <w:rPr>
          <w:sz w:val="24"/>
        </w:rPr>
        <w:t>capping</w:t>
      </w:r>
      <w:r>
        <w:rPr>
          <w:spacing w:val="-4"/>
          <w:sz w:val="24"/>
        </w:rPr>
        <w:t xml:space="preserve"> </w:t>
      </w:r>
      <w:r>
        <w:rPr>
          <w:sz w:val="24"/>
        </w:rPr>
        <w:t xml:space="preserve">pack size. </w:t>
      </w:r>
      <w:r>
        <w:rPr>
          <w:i/>
          <w:sz w:val="24"/>
        </w:rPr>
        <w:t>Addiction</w:t>
      </w:r>
      <w:r>
        <w:rPr>
          <w:sz w:val="24"/>
        </w:rPr>
        <w:t>. 2020;115(5):812-814. doi: 10.1111/add.14921</w:t>
      </w:r>
    </w:p>
    <w:p w14:paraId="590973E1" w14:textId="77777777" w:rsidR="00A84015" w:rsidRDefault="00000000">
      <w:pPr>
        <w:pStyle w:val="ListParagraph"/>
        <w:numPr>
          <w:ilvl w:val="0"/>
          <w:numId w:val="1"/>
        </w:numPr>
        <w:tabs>
          <w:tab w:val="left" w:pos="1689"/>
        </w:tabs>
        <w:spacing w:line="480" w:lineRule="auto"/>
        <w:ind w:right="1588"/>
        <w:rPr>
          <w:sz w:val="24"/>
        </w:rPr>
      </w:pPr>
      <w:r>
        <w:rPr>
          <w:sz w:val="24"/>
        </w:rPr>
        <w:t>Curti D, Shang C, Ridgeway W, Chaloupka FJ, Fong GT. The use of legal, illegal and roll-your-own</w:t>
      </w:r>
      <w:r>
        <w:rPr>
          <w:spacing w:val="-5"/>
          <w:sz w:val="24"/>
        </w:rPr>
        <w:t xml:space="preserve"> </w:t>
      </w:r>
      <w:r>
        <w:rPr>
          <w:sz w:val="24"/>
        </w:rPr>
        <w:t>cigarettes</w:t>
      </w:r>
      <w:r>
        <w:rPr>
          <w:spacing w:val="-5"/>
          <w:sz w:val="24"/>
        </w:rPr>
        <w:t xml:space="preserve"> </w:t>
      </w:r>
      <w:r>
        <w:rPr>
          <w:sz w:val="24"/>
        </w:rPr>
        <w:t>to</w:t>
      </w:r>
      <w:r>
        <w:rPr>
          <w:spacing w:val="-5"/>
          <w:sz w:val="24"/>
        </w:rPr>
        <w:t xml:space="preserve"> </w:t>
      </w:r>
      <w:r>
        <w:rPr>
          <w:sz w:val="24"/>
        </w:rPr>
        <w:t>increasing</w:t>
      </w:r>
      <w:r>
        <w:rPr>
          <w:spacing w:val="-5"/>
          <w:sz w:val="24"/>
        </w:rPr>
        <w:t xml:space="preserve"> </w:t>
      </w:r>
      <w:r>
        <w:rPr>
          <w:sz w:val="24"/>
        </w:rPr>
        <w:t>tobacco</w:t>
      </w:r>
      <w:r>
        <w:rPr>
          <w:spacing w:val="-5"/>
          <w:sz w:val="24"/>
        </w:rPr>
        <w:t xml:space="preserve"> </w:t>
      </w:r>
      <w:r>
        <w:rPr>
          <w:sz w:val="24"/>
        </w:rPr>
        <w:t>excise</w:t>
      </w:r>
      <w:r>
        <w:rPr>
          <w:spacing w:val="-5"/>
          <w:sz w:val="24"/>
        </w:rPr>
        <w:t xml:space="preserve"> </w:t>
      </w:r>
      <w:r>
        <w:rPr>
          <w:sz w:val="24"/>
        </w:rPr>
        <w:t>taxes</w:t>
      </w:r>
      <w:r>
        <w:rPr>
          <w:spacing w:val="-5"/>
          <w:sz w:val="24"/>
        </w:rPr>
        <w:t xml:space="preserve"> </w:t>
      </w:r>
      <w:r>
        <w:rPr>
          <w:sz w:val="24"/>
        </w:rPr>
        <w:t>and</w:t>
      </w:r>
      <w:r>
        <w:rPr>
          <w:spacing w:val="-5"/>
          <w:sz w:val="24"/>
        </w:rPr>
        <w:t xml:space="preserve"> </w:t>
      </w:r>
      <w:r>
        <w:rPr>
          <w:sz w:val="24"/>
        </w:rPr>
        <w:t>comprehensive</w:t>
      </w:r>
      <w:r>
        <w:rPr>
          <w:spacing w:val="-5"/>
          <w:sz w:val="24"/>
        </w:rPr>
        <w:t xml:space="preserve"> </w:t>
      </w:r>
      <w:r>
        <w:rPr>
          <w:sz w:val="24"/>
        </w:rPr>
        <w:t xml:space="preserve">tobacco control policies: findings from the ITC Uruguay Survey. </w:t>
      </w:r>
      <w:r>
        <w:rPr>
          <w:i/>
          <w:sz w:val="24"/>
        </w:rPr>
        <w:t>Tob Control</w:t>
      </w:r>
      <w:r>
        <w:rPr>
          <w:sz w:val="24"/>
        </w:rPr>
        <w:t>. 2015;24(S3):iii17-iii24. doi: 10.1136/tobaccocontrol-2014-051890</w:t>
      </w:r>
    </w:p>
    <w:p w14:paraId="5AAF54AE" w14:textId="77777777" w:rsidR="00A84015" w:rsidRDefault="00000000">
      <w:pPr>
        <w:pStyle w:val="ListParagraph"/>
        <w:numPr>
          <w:ilvl w:val="0"/>
          <w:numId w:val="1"/>
        </w:numPr>
        <w:tabs>
          <w:tab w:val="left" w:pos="1688"/>
        </w:tabs>
        <w:ind w:left="1688" w:hanging="389"/>
        <w:rPr>
          <w:sz w:val="24"/>
        </w:rPr>
      </w:pPr>
      <w:r>
        <w:rPr>
          <w:sz w:val="24"/>
        </w:rPr>
        <w:t>Breslin</w:t>
      </w:r>
      <w:r>
        <w:rPr>
          <w:spacing w:val="-2"/>
          <w:sz w:val="24"/>
        </w:rPr>
        <w:t xml:space="preserve"> </w:t>
      </w:r>
      <w:r>
        <w:rPr>
          <w:sz w:val="24"/>
        </w:rPr>
        <w:t>E,</w:t>
      </w:r>
      <w:r>
        <w:rPr>
          <w:spacing w:val="-1"/>
          <w:sz w:val="24"/>
        </w:rPr>
        <w:t xml:space="preserve"> </w:t>
      </w:r>
      <w:r>
        <w:rPr>
          <w:sz w:val="24"/>
        </w:rPr>
        <w:t>Hanafin</w:t>
      </w:r>
      <w:r>
        <w:rPr>
          <w:spacing w:val="-1"/>
          <w:sz w:val="24"/>
        </w:rPr>
        <w:t xml:space="preserve"> </w:t>
      </w:r>
      <w:r>
        <w:rPr>
          <w:sz w:val="24"/>
        </w:rPr>
        <w:t>J,</w:t>
      </w:r>
      <w:r>
        <w:rPr>
          <w:spacing w:val="-1"/>
          <w:sz w:val="24"/>
        </w:rPr>
        <w:t xml:space="preserve"> </w:t>
      </w:r>
      <w:r>
        <w:rPr>
          <w:sz w:val="24"/>
        </w:rPr>
        <w:t>Clancy</w:t>
      </w:r>
      <w:r>
        <w:rPr>
          <w:spacing w:val="-1"/>
          <w:sz w:val="24"/>
        </w:rPr>
        <w:t xml:space="preserve"> </w:t>
      </w:r>
      <w:r>
        <w:rPr>
          <w:sz w:val="24"/>
        </w:rPr>
        <w:t>L.</w:t>
      </w:r>
      <w:r>
        <w:rPr>
          <w:spacing w:val="-1"/>
          <w:sz w:val="24"/>
        </w:rPr>
        <w:t xml:space="preserve"> </w:t>
      </w:r>
      <w:r>
        <w:rPr>
          <w:sz w:val="24"/>
        </w:rPr>
        <w:t>It’s</w:t>
      </w:r>
      <w:r>
        <w:rPr>
          <w:spacing w:val="-1"/>
          <w:sz w:val="24"/>
        </w:rPr>
        <w:t xml:space="preserve"> </w:t>
      </w:r>
      <w:r>
        <w:rPr>
          <w:sz w:val="24"/>
        </w:rPr>
        <w:t>not</w:t>
      </w:r>
      <w:r>
        <w:rPr>
          <w:spacing w:val="-1"/>
          <w:sz w:val="24"/>
        </w:rPr>
        <w:t xml:space="preserve"> </w:t>
      </w:r>
      <w:r>
        <w:rPr>
          <w:sz w:val="24"/>
        </w:rPr>
        <w:t>all</w:t>
      </w:r>
      <w:r>
        <w:rPr>
          <w:spacing w:val="-1"/>
          <w:sz w:val="24"/>
        </w:rPr>
        <w:t xml:space="preserve"> </w:t>
      </w:r>
      <w:r>
        <w:rPr>
          <w:sz w:val="24"/>
        </w:rPr>
        <w:t>about</w:t>
      </w:r>
      <w:r>
        <w:rPr>
          <w:spacing w:val="-1"/>
          <w:sz w:val="24"/>
        </w:rPr>
        <w:t xml:space="preserve"> </w:t>
      </w:r>
      <w:r>
        <w:rPr>
          <w:sz w:val="24"/>
        </w:rPr>
        <w:t>price:</w:t>
      </w:r>
      <w:r>
        <w:rPr>
          <w:spacing w:val="-1"/>
          <w:sz w:val="24"/>
        </w:rPr>
        <w:t xml:space="preserve"> </w:t>
      </w:r>
      <w:r>
        <w:rPr>
          <w:sz w:val="24"/>
        </w:rPr>
        <w:t>factors</w:t>
      </w:r>
      <w:r>
        <w:rPr>
          <w:spacing w:val="-1"/>
          <w:sz w:val="24"/>
        </w:rPr>
        <w:t xml:space="preserve"> </w:t>
      </w:r>
      <w:r>
        <w:rPr>
          <w:sz w:val="24"/>
        </w:rPr>
        <w:t>associated</w:t>
      </w:r>
      <w:r>
        <w:rPr>
          <w:spacing w:val="-1"/>
          <w:sz w:val="24"/>
        </w:rPr>
        <w:t xml:space="preserve"> </w:t>
      </w:r>
      <w:r>
        <w:rPr>
          <w:spacing w:val="-4"/>
          <w:sz w:val="24"/>
        </w:rPr>
        <w:t>with</w:t>
      </w:r>
    </w:p>
    <w:p w14:paraId="13507E2A" w14:textId="77777777" w:rsidR="00A84015" w:rsidRDefault="00000000">
      <w:pPr>
        <w:pStyle w:val="BodyText"/>
        <w:spacing w:before="276" w:line="480" w:lineRule="auto"/>
        <w:ind w:left="1689" w:right="1086"/>
      </w:pPr>
      <w:r>
        <w:t>roll-your-own</w:t>
      </w:r>
      <w:r>
        <w:rPr>
          <w:spacing w:val="-5"/>
        </w:rPr>
        <w:t xml:space="preserve"> </w:t>
      </w:r>
      <w:r>
        <w:t>tobacco</w:t>
      </w:r>
      <w:r>
        <w:rPr>
          <w:spacing w:val="-5"/>
        </w:rPr>
        <w:t xml:space="preserve"> </w:t>
      </w:r>
      <w:r>
        <w:t>use</w:t>
      </w:r>
      <w:r>
        <w:rPr>
          <w:spacing w:val="-5"/>
        </w:rPr>
        <w:t xml:space="preserve"> </w:t>
      </w:r>
      <w:r>
        <w:t>among</w:t>
      </w:r>
      <w:r>
        <w:rPr>
          <w:spacing w:val="-5"/>
        </w:rPr>
        <w:t xml:space="preserve"> </w:t>
      </w:r>
      <w:r>
        <w:t>young</w:t>
      </w:r>
      <w:r>
        <w:rPr>
          <w:spacing w:val="-5"/>
        </w:rPr>
        <w:t xml:space="preserve"> </w:t>
      </w:r>
      <w:r>
        <w:t>people</w:t>
      </w:r>
      <w:r>
        <w:rPr>
          <w:spacing w:val="-5"/>
        </w:rPr>
        <w:t xml:space="preserve"> </w:t>
      </w:r>
      <w:r>
        <w:t>-</w:t>
      </w:r>
      <w:r>
        <w:rPr>
          <w:spacing w:val="-5"/>
        </w:rPr>
        <w:t xml:space="preserve"> </w:t>
      </w:r>
      <w:r>
        <w:t>a</w:t>
      </w:r>
      <w:r>
        <w:rPr>
          <w:spacing w:val="-5"/>
        </w:rPr>
        <w:t xml:space="preserve"> </w:t>
      </w:r>
      <w:r>
        <w:t>qualitative</w:t>
      </w:r>
      <w:r>
        <w:rPr>
          <w:spacing w:val="-5"/>
        </w:rPr>
        <w:t xml:space="preserve"> </w:t>
      </w:r>
      <w:r>
        <w:t>study.</w:t>
      </w:r>
      <w:r>
        <w:rPr>
          <w:spacing w:val="-5"/>
        </w:rPr>
        <w:t xml:space="preserve"> </w:t>
      </w:r>
      <w:r>
        <w:rPr>
          <w:i/>
        </w:rPr>
        <w:t>BMC</w:t>
      </w:r>
      <w:r>
        <w:rPr>
          <w:i/>
          <w:spacing w:val="-5"/>
        </w:rPr>
        <w:t xml:space="preserve"> </w:t>
      </w:r>
      <w:r>
        <w:rPr>
          <w:i/>
        </w:rPr>
        <w:t>Pub</w:t>
      </w:r>
      <w:r>
        <w:rPr>
          <w:i/>
          <w:spacing w:val="-5"/>
        </w:rPr>
        <w:t xml:space="preserve"> </w:t>
      </w:r>
      <w:r>
        <w:rPr>
          <w:i/>
        </w:rPr>
        <w:t>Health</w:t>
      </w:r>
      <w:r>
        <w:t>. 2018;18(1):991. doi: 10.1186/s12889-018-5921-8</w:t>
      </w:r>
    </w:p>
    <w:p w14:paraId="1204DAC4" w14:textId="77777777" w:rsidR="00A84015" w:rsidRDefault="00000000">
      <w:pPr>
        <w:pStyle w:val="ListParagraph"/>
        <w:numPr>
          <w:ilvl w:val="0"/>
          <w:numId w:val="1"/>
        </w:numPr>
        <w:tabs>
          <w:tab w:val="left" w:pos="1689"/>
        </w:tabs>
        <w:spacing w:line="480" w:lineRule="auto"/>
        <w:ind w:right="1341"/>
        <w:rPr>
          <w:sz w:val="24"/>
        </w:rPr>
      </w:pPr>
      <w:r>
        <w:rPr>
          <w:sz w:val="24"/>
        </w:rPr>
        <w:t>Pippo A, Llambí L, Fontao S, et al. Tabaquismo y género: conocimiento sobre enfermedades tabaco-dependientes en la mujer, entre usuarias hospitalizadas en hospitales</w:t>
      </w:r>
      <w:r>
        <w:rPr>
          <w:spacing w:val="-4"/>
          <w:sz w:val="24"/>
        </w:rPr>
        <w:t xml:space="preserve"> </w:t>
      </w:r>
      <w:r>
        <w:rPr>
          <w:sz w:val="24"/>
        </w:rPr>
        <w:t>públicos</w:t>
      </w:r>
      <w:r>
        <w:rPr>
          <w:spacing w:val="-4"/>
          <w:sz w:val="24"/>
        </w:rPr>
        <w:t xml:space="preserve"> </w:t>
      </w:r>
      <w:r>
        <w:rPr>
          <w:sz w:val="24"/>
        </w:rPr>
        <w:t>de</w:t>
      </w:r>
      <w:r>
        <w:rPr>
          <w:spacing w:val="-4"/>
          <w:sz w:val="24"/>
        </w:rPr>
        <w:t xml:space="preserve"> </w:t>
      </w:r>
      <w:r>
        <w:rPr>
          <w:sz w:val="24"/>
        </w:rPr>
        <w:t>Montevideo</w:t>
      </w:r>
      <w:r>
        <w:rPr>
          <w:spacing w:val="-4"/>
          <w:sz w:val="24"/>
        </w:rPr>
        <w:t xml:space="preserve"> </w:t>
      </w:r>
      <w:r>
        <w:rPr>
          <w:sz w:val="24"/>
        </w:rPr>
        <w:t>2017.</w:t>
      </w:r>
      <w:r>
        <w:rPr>
          <w:spacing w:val="-4"/>
          <w:sz w:val="24"/>
        </w:rPr>
        <w:t xml:space="preserve"> </w:t>
      </w:r>
      <w:r>
        <w:rPr>
          <w:i/>
          <w:sz w:val="24"/>
        </w:rPr>
        <w:t>Rev</w:t>
      </w:r>
      <w:r>
        <w:rPr>
          <w:i/>
          <w:spacing w:val="-4"/>
          <w:sz w:val="24"/>
        </w:rPr>
        <w:t xml:space="preserve"> </w:t>
      </w:r>
      <w:r>
        <w:rPr>
          <w:i/>
          <w:sz w:val="24"/>
        </w:rPr>
        <w:t>Urug</w:t>
      </w:r>
      <w:r>
        <w:rPr>
          <w:i/>
          <w:spacing w:val="-4"/>
          <w:sz w:val="24"/>
        </w:rPr>
        <w:t xml:space="preserve"> </w:t>
      </w:r>
      <w:r>
        <w:rPr>
          <w:i/>
          <w:sz w:val="24"/>
        </w:rPr>
        <w:t>Med</w:t>
      </w:r>
      <w:r>
        <w:rPr>
          <w:i/>
          <w:spacing w:val="-4"/>
          <w:sz w:val="24"/>
        </w:rPr>
        <w:t xml:space="preserve"> </w:t>
      </w:r>
      <w:r>
        <w:rPr>
          <w:i/>
          <w:sz w:val="24"/>
        </w:rPr>
        <w:t>Interna</w:t>
      </w:r>
      <w:r>
        <w:rPr>
          <w:sz w:val="24"/>
        </w:rPr>
        <w:t>.</w:t>
      </w:r>
      <w:r>
        <w:rPr>
          <w:spacing w:val="-4"/>
          <w:sz w:val="24"/>
        </w:rPr>
        <w:t xml:space="preserve"> </w:t>
      </w:r>
      <w:r>
        <w:rPr>
          <w:sz w:val="24"/>
        </w:rPr>
        <w:t>2018;03(02):22-30.</w:t>
      </w:r>
      <w:r>
        <w:rPr>
          <w:spacing w:val="-4"/>
          <w:sz w:val="24"/>
        </w:rPr>
        <w:t xml:space="preserve"> </w:t>
      </w:r>
      <w:r>
        <w:rPr>
          <w:sz w:val="24"/>
        </w:rPr>
        <w:t xml:space="preserve">doi: </w:t>
      </w:r>
      <w:r>
        <w:rPr>
          <w:spacing w:val="-2"/>
          <w:sz w:val="24"/>
        </w:rPr>
        <w:t>10.26445/RMU.3.2.3</w:t>
      </w:r>
    </w:p>
    <w:p w14:paraId="5F494BF2" w14:textId="77777777" w:rsidR="00A84015" w:rsidRDefault="00000000">
      <w:pPr>
        <w:pStyle w:val="ListParagraph"/>
        <w:numPr>
          <w:ilvl w:val="0"/>
          <w:numId w:val="1"/>
        </w:numPr>
        <w:tabs>
          <w:tab w:val="left" w:pos="1689"/>
        </w:tabs>
        <w:spacing w:line="480" w:lineRule="auto"/>
        <w:ind w:right="1513"/>
        <w:rPr>
          <w:sz w:val="24"/>
        </w:rPr>
      </w:pPr>
      <w:r>
        <w:rPr>
          <w:sz w:val="24"/>
        </w:rPr>
        <w:t>Moodie C, O’Donnell R. Reasons for using roll-your-own tobacco and perceptions of health-promoting</w:t>
      </w:r>
      <w:r>
        <w:rPr>
          <w:spacing w:val="-5"/>
          <w:sz w:val="24"/>
        </w:rPr>
        <w:t xml:space="preserve"> </w:t>
      </w:r>
      <w:r>
        <w:rPr>
          <w:sz w:val="24"/>
        </w:rPr>
        <w:t>pack</w:t>
      </w:r>
      <w:r>
        <w:rPr>
          <w:spacing w:val="-5"/>
          <w:sz w:val="24"/>
        </w:rPr>
        <w:t xml:space="preserve"> </w:t>
      </w:r>
      <w:r>
        <w:rPr>
          <w:sz w:val="24"/>
        </w:rPr>
        <w:t>inserts:</w:t>
      </w:r>
      <w:r>
        <w:rPr>
          <w:spacing w:val="-5"/>
          <w:sz w:val="24"/>
        </w:rPr>
        <w:t xml:space="preserve"> </w:t>
      </w:r>
      <w:r>
        <w:rPr>
          <w:sz w:val="24"/>
        </w:rPr>
        <w:t>a</w:t>
      </w:r>
      <w:r>
        <w:rPr>
          <w:spacing w:val="-5"/>
          <w:sz w:val="24"/>
        </w:rPr>
        <w:t xml:space="preserve"> </w:t>
      </w:r>
      <w:r>
        <w:rPr>
          <w:sz w:val="24"/>
        </w:rPr>
        <w:t>focus</w:t>
      </w:r>
      <w:r>
        <w:rPr>
          <w:spacing w:val="-5"/>
          <w:sz w:val="24"/>
        </w:rPr>
        <w:t xml:space="preserve"> </w:t>
      </w:r>
      <w:r>
        <w:rPr>
          <w:sz w:val="24"/>
        </w:rPr>
        <w:t>group</w:t>
      </w:r>
      <w:r>
        <w:rPr>
          <w:spacing w:val="-5"/>
          <w:sz w:val="24"/>
        </w:rPr>
        <w:t xml:space="preserve"> </w:t>
      </w:r>
      <w:r>
        <w:rPr>
          <w:sz w:val="24"/>
        </w:rPr>
        <w:t>study</w:t>
      </w:r>
      <w:r>
        <w:rPr>
          <w:spacing w:val="-5"/>
          <w:sz w:val="24"/>
        </w:rPr>
        <w:t xml:space="preserve"> </w:t>
      </w:r>
      <w:r>
        <w:rPr>
          <w:sz w:val="24"/>
        </w:rPr>
        <w:t>with</w:t>
      </w:r>
      <w:r>
        <w:rPr>
          <w:spacing w:val="-5"/>
          <w:sz w:val="24"/>
        </w:rPr>
        <w:t xml:space="preserve"> </w:t>
      </w:r>
      <w:r>
        <w:rPr>
          <w:sz w:val="24"/>
        </w:rPr>
        <w:t>roll-your-own</w:t>
      </w:r>
      <w:r>
        <w:rPr>
          <w:spacing w:val="-5"/>
          <w:sz w:val="24"/>
        </w:rPr>
        <w:t xml:space="preserve"> </w:t>
      </w:r>
      <w:r>
        <w:rPr>
          <w:sz w:val="24"/>
        </w:rPr>
        <w:t>tobacco</w:t>
      </w:r>
      <w:r>
        <w:rPr>
          <w:spacing w:val="-5"/>
          <w:sz w:val="24"/>
        </w:rPr>
        <w:t xml:space="preserve"> </w:t>
      </w:r>
      <w:r>
        <w:rPr>
          <w:sz w:val="24"/>
        </w:rPr>
        <w:t xml:space="preserve">smokers in Scotland. </w:t>
      </w:r>
      <w:r>
        <w:rPr>
          <w:i/>
          <w:sz w:val="24"/>
        </w:rPr>
        <w:t>Nicotine Tob Res</w:t>
      </w:r>
      <w:r>
        <w:rPr>
          <w:sz w:val="24"/>
        </w:rPr>
        <w:t>. 2022;24(12):1937-1944. doi: 10.1093/ntr/ntac184</w:t>
      </w:r>
    </w:p>
    <w:p w14:paraId="19F36C57" w14:textId="77777777" w:rsidR="00A84015" w:rsidRDefault="00000000">
      <w:pPr>
        <w:pStyle w:val="ListParagraph"/>
        <w:numPr>
          <w:ilvl w:val="0"/>
          <w:numId w:val="1"/>
        </w:numPr>
        <w:tabs>
          <w:tab w:val="left" w:pos="1689"/>
        </w:tabs>
        <w:spacing w:line="480" w:lineRule="auto"/>
        <w:ind w:right="1379"/>
        <w:rPr>
          <w:sz w:val="24"/>
        </w:rPr>
      </w:pPr>
      <w:r>
        <w:rPr>
          <w:sz w:val="24"/>
        </w:rPr>
        <w:t>Hoek</w:t>
      </w:r>
      <w:r>
        <w:rPr>
          <w:spacing w:val="-4"/>
          <w:sz w:val="24"/>
        </w:rPr>
        <w:t xml:space="preserve"> </w:t>
      </w:r>
      <w:r>
        <w:rPr>
          <w:sz w:val="24"/>
        </w:rPr>
        <w:t>J,</w:t>
      </w:r>
      <w:r>
        <w:rPr>
          <w:spacing w:val="-4"/>
          <w:sz w:val="24"/>
        </w:rPr>
        <w:t xml:space="preserve"> </w:t>
      </w:r>
      <w:r>
        <w:rPr>
          <w:sz w:val="24"/>
        </w:rPr>
        <w:t>Ferguson</w:t>
      </w:r>
      <w:r>
        <w:rPr>
          <w:spacing w:val="-4"/>
          <w:sz w:val="24"/>
        </w:rPr>
        <w:t xml:space="preserve"> </w:t>
      </w:r>
      <w:r>
        <w:rPr>
          <w:sz w:val="24"/>
        </w:rPr>
        <w:t>S,</w:t>
      </w:r>
      <w:r>
        <w:rPr>
          <w:spacing w:val="-4"/>
          <w:sz w:val="24"/>
        </w:rPr>
        <w:t xml:space="preserve"> </w:t>
      </w:r>
      <w:r>
        <w:rPr>
          <w:sz w:val="24"/>
        </w:rPr>
        <w:t>Court</w:t>
      </w:r>
      <w:r>
        <w:rPr>
          <w:spacing w:val="-4"/>
          <w:sz w:val="24"/>
        </w:rPr>
        <w:t xml:space="preserve"> </w:t>
      </w:r>
      <w:r>
        <w:rPr>
          <w:sz w:val="24"/>
        </w:rPr>
        <w:t>E,</w:t>
      </w:r>
      <w:r>
        <w:rPr>
          <w:spacing w:val="-4"/>
          <w:sz w:val="24"/>
        </w:rPr>
        <w:t xml:space="preserve"> </w:t>
      </w:r>
      <w:r>
        <w:rPr>
          <w:sz w:val="24"/>
        </w:rPr>
        <w:t>Gallopel-Morvan</w:t>
      </w:r>
      <w:r>
        <w:rPr>
          <w:spacing w:val="-4"/>
          <w:sz w:val="24"/>
        </w:rPr>
        <w:t xml:space="preserve"> </w:t>
      </w:r>
      <w:r>
        <w:rPr>
          <w:sz w:val="24"/>
        </w:rPr>
        <w:t>K.</w:t>
      </w:r>
      <w:r>
        <w:rPr>
          <w:spacing w:val="-4"/>
          <w:sz w:val="24"/>
        </w:rPr>
        <w:t xml:space="preserve"> </w:t>
      </w:r>
      <w:r>
        <w:rPr>
          <w:sz w:val="24"/>
        </w:rPr>
        <w:t>Qualitative</w:t>
      </w:r>
      <w:r>
        <w:rPr>
          <w:spacing w:val="-4"/>
          <w:sz w:val="24"/>
        </w:rPr>
        <w:t xml:space="preserve"> </w:t>
      </w:r>
      <w:r>
        <w:rPr>
          <w:sz w:val="24"/>
        </w:rPr>
        <w:t>exploration</w:t>
      </w:r>
      <w:r>
        <w:rPr>
          <w:spacing w:val="-4"/>
          <w:sz w:val="24"/>
        </w:rPr>
        <w:t xml:space="preserve"> </w:t>
      </w:r>
      <w:r>
        <w:rPr>
          <w:sz w:val="24"/>
        </w:rPr>
        <w:t>of</w:t>
      </w:r>
      <w:r>
        <w:rPr>
          <w:spacing w:val="-4"/>
          <w:sz w:val="24"/>
        </w:rPr>
        <w:t xml:space="preserve"> </w:t>
      </w:r>
      <w:r>
        <w:rPr>
          <w:sz w:val="24"/>
        </w:rPr>
        <w:t>young</w:t>
      </w:r>
      <w:r>
        <w:rPr>
          <w:spacing w:val="-4"/>
          <w:sz w:val="24"/>
        </w:rPr>
        <w:t xml:space="preserve"> </w:t>
      </w:r>
      <w:r>
        <w:rPr>
          <w:sz w:val="24"/>
        </w:rPr>
        <w:t xml:space="preserve">adult RYO smokers’ practices. </w:t>
      </w:r>
      <w:r>
        <w:rPr>
          <w:i/>
          <w:sz w:val="24"/>
        </w:rPr>
        <w:t>Tob Control</w:t>
      </w:r>
      <w:r>
        <w:rPr>
          <w:sz w:val="24"/>
        </w:rPr>
        <w:t>. 2017;26(5):563-568. doi:</w:t>
      </w:r>
    </w:p>
    <w:p w14:paraId="2A900EE3" w14:textId="77777777" w:rsidR="00A84015" w:rsidRDefault="00000000">
      <w:pPr>
        <w:pStyle w:val="BodyText"/>
        <w:ind w:left="1689"/>
      </w:pPr>
      <w:r>
        <w:rPr>
          <w:spacing w:val="-2"/>
        </w:rPr>
        <w:t>10.1136/tobaccocontrol-2016-053168</w:t>
      </w:r>
    </w:p>
    <w:p w14:paraId="7397E6AA" w14:textId="77777777" w:rsidR="00A84015" w:rsidRDefault="00000000">
      <w:pPr>
        <w:pStyle w:val="ListParagraph"/>
        <w:numPr>
          <w:ilvl w:val="0"/>
          <w:numId w:val="1"/>
        </w:numPr>
        <w:tabs>
          <w:tab w:val="left" w:pos="1689"/>
        </w:tabs>
        <w:spacing w:before="276" w:line="480" w:lineRule="auto"/>
        <w:ind w:right="1345"/>
        <w:rPr>
          <w:sz w:val="24"/>
        </w:rPr>
      </w:pPr>
      <w:r>
        <w:rPr>
          <w:sz w:val="24"/>
        </w:rPr>
        <w:t>Organización</w:t>
      </w:r>
      <w:r>
        <w:rPr>
          <w:spacing w:val="-5"/>
          <w:sz w:val="24"/>
        </w:rPr>
        <w:t xml:space="preserve"> </w:t>
      </w:r>
      <w:r>
        <w:rPr>
          <w:sz w:val="24"/>
        </w:rPr>
        <w:t>Panamericana</w:t>
      </w:r>
      <w:r>
        <w:rPr>
          <w:spacing w:val="-5"/>
          <w:sz w:val="24"/>
        </w:rPr>
        <w:t xml:space="preserve"> </w:t>
      </w:r>
      <w:r>
        <w:rPr>
          <w:sz w:val="24"/>
        </w:rPr>
        <w:t>de</w:t>
      </w:r>
      <w:r>
        <w:rPr>
          <w:spacing w:val="-5"/>
          <w:sz w:val="24"/>
        </w:rPr>
        <w:t xml:space="preserve"> </w:t>
      </w:r>
      <w:r>
        <w:rPr>
          <w:sz w:val="24"/>
        </w:rPr>
        <w:t>la</w:t>
      </w:r>
      <w:r>
        <w:rPr>
          <w:spacing w:val="-5"/>
          <w:sz w:val="24"/>
        </w:rPr>
        <w:t xml:space="preserve"> </w:t>
      </w:r>
      <w:r>
        <w:rPr>
          <w:sz w:val="24"/>
        </w:rPr>
        <w:t>Salud.</w:t>
      </w:r>
      <w:r>
        <w:rPr>
          <w:spacing w:val="-5"/>
          <w:sz w:val="24"/>
        </w:rPr>
        <w:t xml:space="preserve"> </w:t>
      </w:r>
      <w:r>
        <w:rPr>
          <w:i/>
          <w:sz w:val="24"/>
        </w:rPr>
        <w:t>Informe</w:t>
      </w:r>
      <w:r>
        <w:rPr>
          <w:i/>
          <w:spacing w:val="-5"/>
          <w:sz w:val="24"/>
        </w:rPr>
        <w:t xml:space="preserve"> </w:t>
      </w:r>
      <w:r>
        <w:rPr>
          <w:i/>
          <w:sz w:val="24"/>
        </w:rPr>
        <w:t>sobre</w:t>
      </w:r>
      <w:r>
        <w:rPr>
          <w:i/>
          <w:spacing w:val="-5"/>
          <w:sz w:val="24"/>
        </w:rPr>
        <w:t xml:space="preserve"> </w:t>
      </w:r>
      <w:r>
        <w:rPr>
          <w:i/>
          <w:sz w:val="24"/>
        </w:rPr>
        <w:t>el</w:t>
      </w:r>
      <w:r>
        <w:rPr>
          <w:i/>
          <w:spacing w:val="-5"/>
          <w:sz w:val="24"/>
        </w:rPr>
        <w:t xml:space="preserve"> </w:t>
      </w:r>
      <w:r>
        <w:rPr>
          <w:i/>
          <w:sz w:val="24"/>
        </w:rPr>
        <w:t>control</w:t>
      </w:r>
      <w:r>
        <w:rPr>
          <w:i/>
          <w:spacing w:val="-5"/>
          <w:sz w:val="24"/>
        </w:rPr>
        <w:t xml:space="preserve"> </w:t>
      </w:r>
      <w:r>
        <w:rPr>
          <w:i/>
          <w:sz w:val="24"/>
        </w:rPr>
        <w:t>del</w:t>
      </w:r>
      <w:r>
        <w:rPr>
          <w:i/>
          <w:spacing w:val="-5"/>
          <w:sz w:val="24"/>
        </w:rPr>
        <w:t xml:space="preserve"> </w:t>
      </w:r>
      <w:r>
        <w:rPr>
          <w:i/>
          <w:sz w:val="24"/>
        </w:rPr>
        <w:t>tabaco</w:t>
      </w:r>
      <w:r>
        <w:rPr>
          <w:i/>
          <w:spacing w:val="-5"/>
          <w:sz w:val="24"/>
        </w:rPr>
        <w:t xml:space="preserve"> </w:t>
      </w:r>
      <w:r>
        <w:rPr>
          <w:i/>
          <w:sz w:val="24"/>
        </w:rPr>
        <w:t>en</w:t>
      </w:r>
      <w:r>
        <w:rPr>
          <w:i/>
          <w:spacing w:val="-5"/>
          <w:sz w:val="24"/>
        </w:rPr>
        <w:t xml:space="preserve"> </w:t>
      </w:r>
      <w:r>
        <w:rPr>
          <w:i/>
          <w:sz w:val="24"/>
        </w:rPr>
        <w:t>la</w:t>
      </w:r>
      <w:r>
        <w:rPr>
          <w:i/>
          <w:spacing w:val="-5"/>
          <w:sz w:val="24"/>
        </w:rPr>
        <w:t xml:space="preserve"> </w:t>
      </w:r>
      <w:r>
        <w:rPr>
          <w:i/>
          <w:sz w:val="24"/>
        </w:rPr>
        <w:t>Región de las Américas 2022</w:t>
      </w:r>
      <w:r>
        <w:rPr>
          <w:sz w:val="24"/>
        </w:rPr>
        <w:t xml:space="preserve">. Pan American Health Organization; 2023. </w:t>
      </w:r>
      <w:r>
        <w:rPr>
          <w:spacing w:val="-2"/>
          <w:sz w:val="24"/>
        </w:rPr>
        <w:t>doi:10.37774/9789275325896</w:t>
      </w:r>
    </w:p>
    <w:p w14:paraId="2578FD8C" w14:textId="77777777" w:rsidR="00A84015" w:rsidRDefault="00000000">
      <w:pPr>
        <w:pStyle w:val="ListParagraph"/>
        <w:numPr>
          <w:ilvl w:val="0"/>
          <w:numId w:val="1"/>
        </w:numPr>
        <w:tabs>
          <w:tab w:val="left" w:pos="1689"/>
        </w:tabs>
        <w:spacing w:line="480" w:lineRule="auto"/>
        <w:ind w:right="1412"/>
        <w:rPr>
          <w:sz w:val="24"/>
        </w:rPr>
      </w:pPr>
      <w:r>
        <w:rPr>
          <w:sz w:val="24"/>
        </w:rPr>
        <w:t>Barnoya</w:t>
      </w:r>
      <w:r>
        <w:rPr>
          <w:spacing w:val="-5"/>
          <w:sz w:val="24"/>
        </w:rPr>
        <w:t xml:space="preserve"> </w:t>
      </w:r>
      <w:r>
        <w:rPr>
          <w:sz w:val="24"/>
        </w:rPr>
        <w:t>J,</w:t>
      </w:r>
      <w:r>
        <w:rPr>
          <w:spacing w:val="-5"/>
          <w:sz w:val="24"/>
        </w:rPr>
        <w:t xml:space="preserve"> </w:t>
      </w:r>
      <w:r>
        <w:rPr>
          <w:sz w:val="24"/>
        </w:rPr>
        <w:t>Mejia</w:t>
      </w:r>
      <w:r>
        <w:rPr>
          <w:spacing w:val="-5"/>
          <w:sz w:val="24"/>
        </w:rPr>
        <w:t xml:space="preserve"> </w:t>
      </w:r>
      <w:r>
        <w:rPr>
          <w:sz w:val="24"/>
        </w:rPr>
        <w:t>R,</w:t>
      </w:r>
      <w:r>
        <w:rPr>
          <w:spacing w:val="-5"/>
          <w:sz w:val="24"/>
        </w:rPr>
        <w:t xml:space="preserve"> </w:t>
      </w:r>
      <w:r>
        <w:rPr>
          <w:sz w:val="24"/>
        </w:rPr>
        <w:t>Szeinman</w:t>
      </w:r>
      <w:r>
        <w:rPr>
          <w:spacing w:val="-5"/>
          <w:sz w:val="24"/>
        </w:rPr>
        <w:t xml:space="preserve"> </w:t>
      </w:r>
      <w:r>
        <w:rPr>
          <w:sz w:val="24"/>
        </w:rPr>
        <w:t>D,</w:t>
      </w:r>
      <w:r>
        <w:rPr>
          <w:spacing w:val="-5"/>
          <w:sz w:val="24"/>
        </w:rPr>
        <w:t xml:space="preserve"> </w:t>
      </w:r>
      <w:r>
        <w:rPr>
          <w:sz w:val="24"/>
        </w:rPr>
        <w:t>Kummerfeldt</w:t>
      </w:r>
      <w:r>
        <w:rPr>
          <w:spacing w:val="-5"/>
          <w:sz w:val="24"/>
        </w:rPr>
        <w:t xml:space="preserve"> </w:t>
      </w:r>
      <w:r>
        <w:rPr>
          <w:sz w:val="24"/>
        </w:rPr>
        <w:t>CE.</w:t>
      </w:r>
      <w:r>
        <w:rPr>
          <w:spacing w:val="-5"/>
          <w:sz w:val="24"/>
        </w:rPr>
        <w:t xml:space="preserve"> </w:t>
      </w:r>
      <w:r>
        <w:rPr>
          <w:sz w:val="24"/>
        </w:rPr>
        <w:t>Tobacco</w:t>
      </w:r>
      <w:r>
        <w:rPr>
          <w:spacing w:val="-5"/>
          <w:sz w:val="24"/>
        </w:rPr>
        <w:t xml:space="preserve"> </w:t>
      </w:r>
      <w:r>
        <w:rPr>
          <w:sz w:val="24"/>
        </w:rPr>
        <w:t>point-of-sale</w:t>
      </w:r>
      <w:r>
        <w:rPr>
          <w:spacing w:val="-5"/>
          <w:sz w:val="24"/>
        </w:rPr>
        <w:t xml:space="preserve"> </w:t>
      </w:r>
      <w:r>
        <w:rPr>
          <w:sz w:val="24"/>
        </w:rPr>
        <w:t>advertising</w:t>
      </w:r>
      <w:r>
        <w:rPr>
          <w:spacing w:val="-5"/>
          <w:sz w:val="24"/>
        </w:rPr>
        <w:t xml:space="preserve"> </w:t>
      </w:r>
      <w:r>
        <w:rPr>
          <w:sz w:val="24"/>
        </w:rPr>
        <w:t xml:space="preserve">in Guatemala City, Guatemala and Buenos Aires, Argentina. </w:t>
      </w:r>
      <w:r>
        <w:rPr>
          <w:i/>
          <w:sz w:val="24"/>
        </w:rPr>
        <w:t>Tob Control</w:t>
      </w:r>
      <w:r>
        <w:rPr>
          <w:sz w:val="24"/>
        </w:rPr>
        <w:t>.</w:t>
      </w:r>
    </w:p>
    <w:p w14:paraId="2DA3AC04" w14:textId="77777777" w:rsidR="00A84015" w:rsidRDefault="00A84015">
      <w:pPr>
        <w:pStyle w:val="ListParagraph"/>
        <w:spacing w:line="480" w:lineRule="auto"/>
        <w:rPr>
          <w:sz w:val="24"/>
        </w:rPr>
        <w:sectPr w:rsidR="00A84015">
          <w:pgSz w:w="11920" w:h="16840"/>
          <w:pgMar w:top="1660" w:right="141" w:bottom="280" w:left="141" w:header="720" w:footer="720" w:gutter="0"/>
          <w:cols w:space="720"/>
        </w:sectPr>
      </w:pPr>
    </w:p>
    <w:p w14:paraId="7B0AEC38" w14:textId="77777777" w:rsidR="00A84015" w:rsidRDefault="00000000">
      <w:pPr>
        <w:pStyle w:val="BodyText"/>
        <w:spacing w:before="60"/>
        <w:ind w:left="1689"/>
      </w:pPr>
      <w:r>
        <w:t xml:space="preserve">2010;19(4):338-341. doi: </w:t>
      </w:r>
      <w:r>
        <w:rPr>
          <w:spacing w:val="-2"/>
        </w:rPr>
        <w:t>10.1136/tc.2009.031898</w:t>
      </w:r>
    </w:p>
    <w:p w14:paraId="6D150738" w14:textId="77777777" w:rsidR="00A84015" w:rsidRDefault="00000000">
      <w:pPr>
        <w:pStyle w:val="ListParagraph"/>
        <w:numPr>
          <w:ilvl w:val="0"/>
          <w:numId w:val="1"/>
        </w:numPr>
        <w:tabs>
          <w:tab w:val="left" w:pos="1689"/>
        </w:tabs>
        <w:spacing w:before="276" w:line="480" w:lineRule="auto"/>
        <w:ind w:right="1446"/>
        <w:rPr>
          <w:sz w:val="24"/>
        </w:rPr>
      </w:pPr>
      <w:r>
        <w:rPr>
          <w:sz w:val="24"/>
        </w:rPr>
        <w:t>Minter DJ, Mejia R, Salas I, Thrasher J, Pérez-Stable EJ. Tobacco point-of-sale advertising</w:t>
      </w:r>
      <w:r>
        <w:rPr>
          <w:spacing w:val="-4"/>
          <w:sz w:val="24"/>
        </w:rPr>
        <w:t xml:space="preserve"> </w:t>
      </w:r>
      <w:r>
        <w:rPr>
          <w:sz w:val="24"/>
        </w:rPr>
        <w:t>in</w:t>
      </w:r>
      <w:r>
        <w:rPr>
          <w:spacing w:val="-4"/>
          <w:sz w:val="24"/>
        </w:rPr>
        <w:t xml:space="preserve"> </w:t>
      </w:r>
      <w:r>
        <w:rPr>
          <w:sz w:val="24"/>
        </w:rPr>
        <w:t>downtown</w:t>
      </w:r>
      <w:r>
        <w:rPr>
          <w:spacing w:val="-4"/>
          <w:sz w:val="24"/>
        </w:rPr>
        <w:t xml:space="preserve"> </w:t>
      </w:r>
      <w:r>
        <w:rPr>
          <w:sz w:val="24"/>
        </w:rPr>
        <w:t>Buenos</w:t>
      </w:r>
      <w:r>
        <w:rPr>
          <w:spacing w:val="-4"/>
          <w:sz w:val="24"/>
        </w:rPr>
        <w:t xml:space="preserve"> </w:t>
      </w:r>
      <w:r>
        <w:rPr>
          <w:sz w:val="24"/>
        </w:rPr>
        <w:t>Aires,</w:t>
      </w:r>
      <w:r>
        <w:rPr>
          <w:spacing w:val="-4"/>
          <w:sz w:val="24"/>
        </w:rPr>
        <w:t xml:space="preserve"> </w:t>
      </w:r>
      <w:r>
        <w:rPr>
          <w:sz w:val="24"/>
        </w:rPr>
        <w:t>Argentina</w:t>
      </w:r>
      <w:r>
        <w:rPr>
          <w:spacing w:val="-4"/>
          <w:sz w:val="24"/>
        </w:rPr>
        <w:t xml:space="preserve"> </w:t>
      </w:r>
      <w:r>
        <w:rPr>
          <w:sz w:val="24"/>
        </w:rPr>
        <w:t>and</w:t>
      </w:r>
      <w:r>
        <w:rPr>
          <w:spacing w:val="-4"/>
          <w:sz w:val="24"/>
        </w:rPr>
        <w:t xml:space="preserve"> </w:t>
      </w:r>
      <w:r>
        <w:rPr>
          <w:sz w:val="24"/>
        </w:rPr>
        <w:t>compliance</w:t>
      </w:r>
      <w:r>
        <w:rPr>
          <w:spacing w:val="-4"/>
          <w:sz w:val="24"/>
        </w:rPr>
        <w:t xml:space="preserve"> </w:t>
      </w:r>
      <w:r>
        <w:rPr>
          <w:sz w:val="24"/>
        </w:rPr>
        <w:t>with</w:t>
      </w:r>
      <w:r>
        <w:rPr>
          <w:spacing w:val="-4"/>
          <w:sz w:val="24"/>
        </w:rPr>
        <w:t xml:space="preserve"> </w:t>
      </w:r>
      <w:r>
        <w:rPr>
          <w:sz w:val="24"/>
        </w:rPr>
        <w:t>the</w:t>
      </w:r>
      <w:r>
        <w:rPr>
          <w:spacing w:val="-4"/>
          <w:sz w:val="24"/>
        </w:rPr>
        <w:t xml:space="preserve"> </w:t>
      </w:r>
      <w:r>
        <w:rPr>
          <w:sz w:val="24"/>
        </w:rPr>
        <w:t>new</w:t>
      </w:r>
      <w:r>
        <w:rPr>
          <w:spacing w:val="-4"/>
          <w:sz w:val="24"/>
        </w:rPr>
        <w:t xml:space="preserve"> </w:t>
      </w:r>
      <w:r>
        <w:rPr>
          <w:sz w:val="24"/>
        </w:rPr>
        <w:t xml:space="preserve">tobacco advertising restrictions. </w:t>
      </w:r>
      <w:r>
        <w:rPr>
          <w:i/>
          <w:sz w:val="24"/>
        </w:rPr>
        <w:t>Tob Control</w:t>
      </w:r>
      <w:r>
        <w:rPr>
          <w:sz w:val="24"/>
        </w:rPr>
        <w:t>. 2017;26(2):239-240. doi:</w:t>
      </w:r>
    </w:p>
    <w:p w14:paraId="5AC2D851" w14:textId="77777777" w:rsidR="00A84015" w:rsidRDefault="00000000">
      <w:pPr>
        <w:pStyle w:val="BodyText"/>
        <w:ind w:left="1689"/>
      </w:pPr>
      <w:r>
        <w:rPr>
          <w:spacing w:val="-2"/>
        </w:rPr>
        <w:t>10.1136/tobaccocontrol-2015-052870</w:t>
      </w:r>
    </w:p>
    <w:p w14:paraId="7FF187B2" w14:textId="77777777" w:rsidR="00A84015" w:rsidRDefault="00000000">
      <w:pPr>
        <w:pStyle w:val="ListParagraph"/>
        <w:numPr>
          <w:ilvl w:val="0"/>
          <w:numId w:val="1"/>
        </w:numPr>
        <w:tabs>
          <w:tab w:val="left" w:pos="1689"/>
        </w:tabs>
        <w:spacing w:before="276" w:line="480" w:lineRule="auto"/>
        <w:ind w:right="1476"/>
        <w:rPr>
          <w:sz w:val="24"/>
        </w:rPr>
      </w:pPr>
      <w:r>
        <w:rPr>
          <w:sz w:val="24"/>
        </w:rPr>
        <w:t>TPackSS.</w:t>
      </w:r>
      <w:r>
        <w:rPr>
          <w:spacing w:val="-8"/>
          <w:sz w:val="24"/>
        </w:rPr>
        <w:t xml:space="preserve"> </w:t>
      </w:r>
      <w:r>
        <w:rPr>
          <w:sz w:val="24"/>
        </w:rPr>
        <w:t>Homepage:</w:t>
      </w:r>
      <w:r>
        <w:rPr>
          <w:spacing w:val="-9"/>
          <w:sz w:val="24"/>
        </w:rPr>
        <w:t xml:space="preserve"> </w:t>
      </w:r>
      <w:r>
        <w:rPr>
          <w:sz w:val="24"/>
        </w:rPr>
        <w:t>TPackSS.</w:t>
      </w:r>
      <w:r>
        <w:rPr>
          <w:spacing w:val="-8"/>
          <w:sz w:val="24"/>
        </w:rPr>
        <w:t xml:space="preserve"> </w:t>
      </w:r>
      <w:r>
        <w:rPr>
          <w:sz w:val="24"/>
        </w:rPr>
        <w:t>Tobacco</w:t>
      </w:r>
      <w:r>
        <w:rPr>
          <w:spacing w:val="-9"/>
          <w:sz w:val="24"/>
        </w:rPr>
        <w:t xml:space="preserve"> </w:t>
      </w:r>
      <w:r>
        <w:rPr>
          <w:sz w:val="24"/>
        </w:rPr>
        <w:t>Pack</w:t>
      </w:r>
      <w:r>
        <w:rPr>
          <w:spacing w:val="-8"/>
          <w:sz w:val="24"/>
        </w:rPr>
        <w:t xml:space="preserve"> </w:t>
      </w:r>
      <w:r>
        <w:rPr>
          <w:sz w:val="24"/>
        </w:rPr>
        <w:t>Surveillance</w:t>
      </w:r>
      <w:r>
        <w:rPr>
          <w:spacing w:val="-9"/>
          <w:sz w:val="24"/>
        </w:rPr>
        <w:t xml:space="preserve"> </w:t>
      </w:r>
      <w:r>
        <w:rPr>
          <w:sz w:val="24"/>
        </w:rPr>
        <w:t>System;</w:t>
      </w:r>
      <w:r>
        <w:rPr>
          <w:spacing w:val="-8"/>
          <w:sz w:val="24"/>
        </w:rPr>
        <w:t xml:space="preserve"> </w:t>
      </w:r>
      <w:r>
        <w:rPr>
          <w:sz w:val="24"/>
        </w:rPr>
        <w:t>2023.</w:t>
      </w:r>
      <w:r>
        <w:rPr>
          <w:spacing w:val="-9"/>
          <w:sz w:val="24"/>
        </w:rPr>
        <w:t xml:space="preserve"> </w:t>
      </w:r>
      <w:r>
        <w:rPr>
          <w:sz w:val="24"/>
        </w:rPr>
        <w:t>Available</w:t>
      </w:r>
      <w:r>
        <w:rPr>
          <w:spacing w:val="-8"/>
          <w:sz w:val="24"/>
        </w:rPr>
        <w:t xml:space="preserve"> </w:t>
      </w:r>
      <w:r>
        <w:rPr>
          <w:sz w:val="24"/>
        </w:rPr>
        <w:t xml:space="preserve">at: </w:t>
      </w:r>
      <w:hyperlink r:id="rId8">
        <w:r>
          <w:rPr>
            <w:color w:val="1154CC"/>
            <w:sz w:val="24"/>
            <w:u w:val="thick" w:color="1154CC"/>
          </w:rPr>
          <w:t>https://tpackss.globaltobaccocontrol.org/</w:t>
        </w:r>
      </w:hyperlink>
      <w:r>
        <w:rPr>
          <w:color w:val="1154CC"/>
          <w:sz w:val="24"/>
        </w:rPr>
        <w:t xml:space="preserve"> </w:t>
      </w:r>
      <w:r>
        <w:rPr>
          <w:sz w:val="24"/>
        </w:rPr>
        <w:t>Accessibility verified February 7, 2024.</w:t>
      </w:r>
    </w:p>
    <w:p w14:paraId="6FEFA38F" w14:textId="77777777" w:rsidR="00A84015" w:rsidRDefault="00000000">
      <w:pPr>
        <w:pStyle w:val="ListParagraph"/>
        <w:numPr>
          <w:ilvl w:val="0"/>
          <w:numId w:val="1"/>
        </w:numPr>
        <w:tabs>
          <w:tab w:val="left" w:pos="1689"/>
        </w:tabs>
        <w:spacing w:line="480" w:lineRule="auto"/>
        <w:ind w:right="1319"/>
        <w:rPr>
          <w:sz w:val="24"/>
        </w:rPr>
      </w:pPr>
      <w:r>
        <w:rPr>
          <w:sz w:val="24"/>
        </w:rPr>
        <w:t>Smith K, Washington C, Brown J, et al. The Tobacco Pack Surveillance System: A Protocol for Assessing Health Warning Compliance, Design Features, and Appeals of Tobacco</w:t>
      </w:r>
      <w:r>
        <w:rPr>
          <w:spacing w:val="-5"/>
          <w:sz w:val="24"/>
        </w:rPr>
        <w:t xml:space="preserve"> </w:t>
      </w:r>
      <w:r>
        <w:rPr>
          <w:sz w:val="24"/>
        </w:rPr>
        <w:t>Packs</w:t>
      </w:r>
      <w:r>
        <w:rPr>
          <w:spacing w:val="-5"/>
          <w:sz w:val="24"/>
        </w:rPr>
        <w:t xml:space="preserve"> </w:t>
      </w:r>
      <w:r>
        <w:rPr>
          <w:sz w:val="24"/>
        </w:rPr>
        <w:t>Sold</w:t>
      </w:r>
      <w:r>
        <w:rPr>
          <w:spacing w:val="-5"/>
          <w:sz w:val="24"/>
        </w:rPr>
        <w:t xml:space="preserve"> </w:t>
      </w:r>
      <w:r>
        <w:rPr>
          <w:sz w:val="24"/>
        </w:rPr>
        <w:t>in</w:t>
      </w:r>
      <w:r>
        <w:rPr>
          <w:spacing w:val="-5"/>
          <w:sz w:val="24"/>
        </w:rPr>
        <w:t xml:space="preserve"> </w:t>
      </w:r>
      <w:r>
        <w:rPr>
          <w:sz w:val="24"/>
        </w:rPr>
        <w:t>Low-</w:t>
      </w:r>
      <w:r>
        <w:rPr>
          <w:spacing w:val="-5"/>
          <w:sz w:val="24"/>
        </w:rPr>
        <w:t xml:space="preserve"> </w:t>
      </w:r>
      <w:r>
        <w:rPr>
          <w:sz w:val="24"/>
        </w:rPr>
        <w:t>and</w:t>
      </w:r>
      <w:r>
        <w:rPr>
          <w:spacing w:val="-5"/>
          <w:sz w:val="24"/>
        </w:rPr>
        <w:t xml:space="preserve"> </w:t>
      </w:r>
      <w:r>
        <w:rPr>
          <w:sz w:val="24"/>
        </w:rPr>
        <w:t>Middle-Income</w:t>
      </w:r>
      <w:r>
        <w:rPr>
          <w:spacing w:val="-5"/>
          <w:sz w:val="24"/>
        </w:rPr>
        <w:t xml:space="preserve"> </w:t>
      </w:r>
      <w:r>
        <w:rPr>
          <w:sz w:val="24"/>
        </w:rPr>
        <w:t>Countries.</w:t>
      </w:r>
      <w:r>
        <w:rPr>
          <w:spacing w:val="-5"/>
          <w:sz w:val="24"/>
        </w:rPr>
        <w:t xml:space="preserve"> </w:t>
      </w:r>
      <w:r>
        <w:rPr>
          <w:i/>
          <w:sz w:val="24"/>
        </w:rPr>
        <w:t>JMIR</w:t>
      </w:r>
      <w:r>
        <w:rPr>
          <w:i/>
          <w:spacing w:val="-5"/>
          <w:sz w:val="24"/>
        </w:rPr>
        <w:t xml:space="preserve"> </w:t>
      </w:r>
      <w:r>
        <w:rPr>
          <w:i/>
          <w:sz w:val="24"/>
        </w:rPr>
        <w:t>Public</w:t>
      </w:r>
      <w:r>
        <w:rPr>
          <w:i/>
          <w:spacing w:val="-5"/>
          <w:sz w:val="24"/>
        </w:rPr>
        <w:t xml:space="preserve"> </w:t>
      </w:r>
      <w:r>
        <w:rPr>
          <w:i/>
          <w:sz w:val="24"/>
        </w:rPr>
        <w:t>Health</w:t>
      </w:r>
      <w:r>
        <w:rPr>
          <w:i/>
          <w:spacing w:val="-5"/>
          <w:sz w:val="24"/>
        </w:rPr>
        <w:t xml:space="preserve"> </w:t>
      </w:r>
      <w:r>
        <w:rPr>
          <w:i/>
          <w:sz w:val="24"/>
        </w:rPr>
        <w:t>Surveill</w:t>
      </w:r>
      <w:r>
        <w:rPr>
          <w:sz w:val="24"/>
        </w:rPr>
        <w:t>. 2015;1(2):e8. doi:10.2196/publichealth.4616</w:t>
      </w:r>
    </w:p>
    <w:p w14:paraId="5762945E" w14:textId="77777777" w:rsidR="00A84015" w:rsidRDefault="00000000">
      <w:pPr>
        <w:pStyle w:val="ListParagraph"/>
        <w:numPr>
          <w:ilvl w:val="0"/>
          <w:numId w:val="1"/>
        </w:numPr>
        <w:tabs>
          <w:tab w:val="left" w:pos="1689"/>
        </w:tabs>
        <w:spacing w:line="480" w:lineRule="auto"/>
        <w:ind w:right="2288"/>
        <w:rPr>
          <w:sz w:val="24"/>
        </w:rPr>
      </w:pPr>
      <w:r>
        <w:rPr>
          <w:sz w:val="24"/>
        </w:rPr>
        <w:t>Barnoya</w:t>
      </w:r>
      <w:r>
        <w:rPr>
          <w:spacing w:val="-3"/>
          <w:sz w:val="24"/>
        </w:rPr>
        <w:t xml:space="preserve"> </w:t>
      </w:r>
      <w:r>
        <w:rPr>
          <w:sz w:val="24"/>
        </w:rPr>
        <w:t>J,</w:t>
      </w:r>
      <w:r>
        <w:rPr>
          <w:spacing w:val="-3"/>
          <w:sz w:val="24"/>
        </w:rPr>
        <w:t xml:space="preserve"> </w:t>
      </w:r>
      <w:r>
        <w:rPr>
          <w:sz w:val="24"/>
        </w:rPr>
        <w:t>Monzon</w:t>
      </w:r>
      <w:r>
        <w:rPr>
          <w:spacing w:val="-3"/>
          <w:sz w:val="24"/>
        </w:rPr>
        <w:t xml:space="preserve"> </w:t>
      </w:r>
      <w:r>
        <w:rPr>
          <w:sz w:val="24"/>
        </w:rPr>
        <w:t>D,</w:t>
      </w:r>
      <w:r>
        <w:rPr>
          <w:spacing w:val="-3"/>
          <w:sz w:val="24"/>
        </w:rPr>
        <w:t xml:space="preserve"> </w:t>
      </w:r>
      <w:r>
        <w:rPr>
          <w:sz w:val="24"/>
        </w:rPr>
        <w:t>Pinetta</w:t>
      </w:r>
      <w:r>
        <w:rPr>
          <w:spacing w:val="-3"/>
          <w:sz w:val="24"/>
        </w:rPr>
        <w:t xml:space="preserve"> </w:t>
      </w:r>
      <w:r>
        <w:rPr>
          <w:sz w:val="24"/>
        </w:rPr>
        <w:t>J,</w:t>
      </w:r>
      <w:r>
        <w:rPr>
          <w:spacing w:val="-3"/>
          <w:sz w:val="24"/>
        </w:rPr>
        <w:t xml:space="preserve"> </w:t>
      </w:r>
      <w:r>
        <w:rPr>
          <w:sz w:val="24"/>
        </w:rPr>
        <w:t>Grilo</w:t>
      </w:r>
      <w:r>
        <w:rPr>
          <w:spacing w:val="-3"/>
          <w:sz w:val="24"/>
        </w:rPr>
        <w:t xml:space="preserve"> </w:t>
      </w:r>
      <w:r>
        <w:rPr>
          <w:sz w:val="24"/>
        </w:rPr>
        <w:t>G,</w:t>
      </w:r>
      <w:r>
        <w:rPr>
          <w:spacing w:val="-3"/>
          <w:sz w:val="24"/>
        </w:rPr>
        <w:t xml:space="preserve"> </w:t>
      </w:r>
      <w:r>
        <w:rPr>
          <w:sz w:val="24"/>
        </w:rPr>
        <w:t>Cohen</w:t>
      </w:r>
      <w:r>
        <w:rPr>
          <w:spacing w:val="-3"/>
          <w:sz w:val="24"/>
        </w:rPr>
        <w:t xml:space="preserve"> </w:t>
      </w:r>
      <w:r>
        <w:rPr>
          <w:sz w:val="24"/>
        </w:rPr>
        <w:t>JE.</w:t>
      </w:r>
      <w:r>
        <w:rPr>
          <w:spacing w:val="-3"/>
          <w:sz w:val="24"/>
        </w:rPr>
        <w:t xml:space="preserve"> </w:t>
      </w:r>
      <w:r>
        <w:rPr>
          <w:sz w:val="24"/>
        </w:rPr>
        <w:t>New</w:t>
      </w:r>
      <w:r>
        <w:rPr>
          <w:spacing w:val="-3"/>
          <w:sz w:val="24"/>
        </w:rPr>
        <w:t xml:space="preserve"> </w:t>
      </w:r>
      <w:r>
        <w:rPr>
          <w:sz w:val="24"/>
        </w:rPr>
        <w:t>tobacco</w:t>
      </w:r>
      <w:r>
        <w:rPr>
          <w:spacing w:val="-3"/>
          <w:sz w:val="24"/>
        </w:rPr>
        <w:t xml:space="preserve"> </w:t>
      </w:r>
      <w:r>
        <w:rPr>
          <w:sz w:val="24"/>
        </w:rPr>
        <w:t>products,</w:t>
      </w:r>
      <w:r>
        <w:rPr>
          <w:spacing w:val="-3"/>
          <w:sz w:val="24"/>
        </w:rPr>
        <w:t xml:space="preserve"> </w:t>
      </w:r>
      <w:r>
        <w:rPr>
          <w:sz w:val="24"/>
        </w:rPr>
        <w:t xml:space="preserve">old advertising strategies: point-of-sale advertising in Guatemala. </w:t>
      </w:r>
      <w:r>
        <w:rPr>
          <w:i/>
          <w:sz w:val="24"/>
        </w:rPr>
        <w:t>Tob Control</w:t>
      </w:r>
      <w:r>
        <w:rPr>
          <w:sz w:val="24"/>
        </w:rPr>
        <w:t>. 2021;30(5):591-593. doi: 10.1136/tobaccocontrol-2020-055681</w:t>
      </w:r>
    </w:p>
    <w:p w14:paraId="7BE2B7E1" w14:textId="77777777" w:rsidR="00A84015" w:rsidRDefault="00000000">
      <w:pPr>
        <w:pStyle w:val="ListParagraph"/>
        <w:numPr>
          <w:ilvl w:val="0"/>
          <w:numId w:val="1"/>
        </w:numPr>
        <w:tabs>
          <w:tab w:val="left" w:pos="1689"/>
        </w:tabs>
        <w:spacing w:line="480" w:lineRule="auto"/>
        <w:ind w:right="1986"/>
        <w:rPr>
          <w:sz w:val="24"/>
        </w:rPr>
      </w:pPr>
      <w:r>
        <w:rPr>
          <w:sz w:val="24"/>
        </w:rPr>
        <w:t>Fundación</w:t>
      </w:r>
      <w:r>
        <w:rPr>
          <w:spacing w:val="-7"/>
          <w:sz w:val="24"/>
        </w:rPr>
        <w:t xml:space="preserve"> </w:t>
      </w:r>
      <w:r>
        <w:rPr>
          <w:sz w:val="24"/>
        </w:rPr>
        <w:t>Interamericana</w:t>
      </w:r>
      <w:r>
        <w:rPr>
          <w:spacing w:val="-7"/>
          <w:sz w:val="24"/>
        </w:rPr>
        <w:t xml:space="preserve"> </w:t>
      </w:r>
      <w:r>
        <w:rPr>
          <w:sz w:val="24"/>
        </w:rPr>
        <w:t>del</w:t>
      </w:r>
      <w:r>
        <w:rPr>
          <w:spacing w:val="-7"/>
          <w:sz w:val="24"/>
        </w:rPr>
        <w:t xml:space="preserve"> </w:t>
      </w:r>
      <w:r>
        <w:rPr>
          <w:sz w:val="24"/>
        </w:rPr>
        <w:t>Corazón.</w:t>
      </w:r>
      <w:r>
        <w:rPr>
          <w:spacing w:val="-7"/>
          <w:sz w:val="24"/>
        </w:rPr>
        <w:t xml:space="preserve"> </w:t>
      </w:r>
      <w:r>
        <w:rPr>
          <w:i/>
          <w:sz w:val="24"/>
        </w:rPr>
        <w:t>Marketing</w:t>
      </w:r>
      <w:r>
        <w:rPr>
          <w:i/>
          <w:spacing w:val="-7"/>
          <w:sz w:val="24"/>
        </w:rPr>
        <w:t xml:space="preserve"> </w:t>
      </w:r>
      <w:r>
        <w:rPr>
          <w:i/>
          <w:sz w:val="24"/>
        </w:rPr>
        <w:t>de</w:t>
      </w:r>
      <w:r>
        <w:rPr>
          <w:i/>
          <w:spacing w:val="-7"/>
          <w:sz w:val="24"/>
        </w:rPr>
        <w:t xml:space="preserve"> </w:t>
      </w:r>
      <w:r>
        <w:rPr>
          <w:i/>
          <w:sz w:val="24"/>
        </w:rPr>
        <w:t>Productos</w:t>
      </w:r>
      <w:r>
        <w:rPr>
          <w:i/>
          <w:spacing w:val="-7"/>
          <w:sz w:val="24"/>
        </w:rPr>
        <w:t xml:space="preserve"> </w:t>
      </w:r>
      <w:r>
        <w:rPr>
          <w:i/>
          <w:sz w:val="24"/>
        </w:rPr>
        <w:t>de</w:t>
      </w:r>
      <w:r>
        <w:rPr>
          <w:i/>
          <w:spacing w:val="-7"/>
          <w:sz w:val="24"/>
        </w:rPr>
        <w:t xml:space="preserve"> </w:t>
      </w:r>
      <w:r>
        <w:rPr>
          <w:i/>
          <w:sz w:val="24"/>
        </w:rPr>
        <w:t>Tabaco</w:t>
      </w:r>
      <w:r>
        <w:rPr>
          <w:i/>
          <w:spacing w:val="-7"/>
          <w:sz w:val="24"/>
        </w:rPr>
        <w:t xml:space="preserve"> </w:t>
      </w:r>
      <w:r>
        <w:rPr>
          <w:i/>
          <w:sz w:val="24"/>
        </w:rPr>
        <w:t>En</w:t>
      </w:r>
      <w:r>
        <w:rPr>
          <w:i/>
          <w:spacing w:val="-7"/>
          <w:sz w:val="24"/>
        </w:rPr>
        <w:t xml:space="preserve"> </w:t>
      </w:r>
      <w:r>
        <w:rPr>
          <w:i/>
          <w:sz w:val="24"/>
        </w:rPr>
        <w:t>Los Puntos de Venta de Diez Provincias Argentinas</w:t>
      </w:r>
      <w:r>
        <w:rPr>
          <w:sz w:val="24"/>
        </w:rPr>
        <w:t>.; 2021. Available at:</w:t>
      </w:r>
    </w:p>
    <w:p w14:paraId="43B53BDB" w14:textId="77777777" w:rsidR="00A84015" w:rsidRDefault="00000000">
      <w:pPr>
        <w:pStyle w:val="BodyText"/>
        <w:spacing w:line="480" w:lineRule="auto"/>
        <w:ind w:left="1689" w:right="1086"/>
      </w:pPr>
      <w:hyperlink r:id="rId9">
        <w:r>
          <w:rPr>
            <w:color w:val="1154CC"/>
            <w:spacing w:val="-2"/>
            <w:u w:val="thick" w:color="1154CC"/>
          </w:rPr>
          <w:t>www.ficargentina.org/wp-content/uploads/2022/06/2206_10prov_PDV.pdf</w:t>
        </w:r>
      </w:hyperlink>
      <w:r>
        <w:rPr>
          <w:color w:val="1154CC"/>
          <w:spacing w:val="-2"/>
        </w:rPr>
        <w:t xml:space="preserve"> </w:t>
      </w:r>
      <w:r>
        <w:rPr>
          <w:spacing w:val="-2"/>
        </w:rPr>
        <w:t xml:space="preserve">Accessibility </w:t>
      </w:r>
      <w:r>
        <w:t>verified February 7, 2024.</w:t>
      </w:r>
    </w:p>
    <w:p w14:paraId="1AC629FC" w14:textId="77777777" w:rsidR="00A84015" w:rsidRDefault="00000000">
      <w:pPr>
        <w:pStyle w:val="ListParagraph"/>
        <w:numPr>
          <w:ilvl w:val="0"/>
          <w:numId w:val="1"/>
        </w:numPr>
        <w:tabs>
          <w:tab w:val="left" w:pos="1689"/>
        </w:tabs>
        <w:spacing w:line="480" w:lineRule="auto"/>
        <w:ind w:right="1450"/>
        <w:rPr>
          <w:sz w:val="24"/>
        </w:rPr>
      </w:pPr>
      <w:r>
        <w:rPr>
          <w:sz w:val="24"/>
        </w:rPr>
        <w:t>R</w:t>
      </w:r>
      <w:r>
        <w:rPr>
          <w:spacing w:val="-7"/>
          <w:sz w:val="24"/>
        </w:rPr>
        <w:t xml:space="preserve"> </w:t>
      </w:r>
      <w:r>
        <w:rPr>
          <w:sz w:val="24"/>
        </w:rPr>
        <w:t>Core</w:t>
      </w:r>
      <w:r>
        <w:rPr>
          <w:spacing w:val="-7"/>
          <w:sz w:val="24"/>
        </w:rPr>
        <w:t xml:space="preserve"> </w:t>
      </w:r>
      <w:r>
        <w:rPr>
          <w:sz w:val="24"/>
        </w:rPr>
        <w:t>Team.</w:t>
      </w:r>
      <w:r>
        <w:rPr>
          <w:spacing w:val="-7"/>
          <w:sz w:val="24"/>
        </w:rPr>
        <w:t xml:space="preserve"> </w:t>
      </w:r>
      <w:r>
        <w:rPr>
          <w:sz w:val="24"/>
        </w:rPr>
        <w:t>R:</w:t>
      </w:r>
      <w:r>
        <w:rPr>
          <w:spacing w:val="-7"/>
          <w:sz w:val="24"/>
        </w:rPr>
        <w:t xml:space="preserve"> </w:t>
      </w:r>
      <w:r>
        <w:rPr>
          <w:sz w:val="24"/>
        </w:rPr>
        <w:t>A</w:t>
      </w:r>
      <w:r>
        <w:rPr>
          <w:spacing w:val="-7"/>
          <w:sz w:val="24"/>
        </w:rPr>
        <w:t xml:space="preserve"> </w:t>
      </w:r>
      <w:r>
        <w:rPr>
          <w:sz w:val="24"/>
        </w:rPr>
        <w:t>language</w:t>
      </w:r>
      <w:r>
        <w:rPr>
          <w:spacing w:val="-7"/>
          <w:sz w:val="24"/>
        </w:rPr>
        <w:t xml:space="preserve"> </w:t>
      </w:r>
      <w:r>
        <w:rPr>
          <w:sz w:val="24"/>
        </w:rPr>
        <w:t>and</w:t>
      </w:r>
      <w:r>
        <w:rPr>
          <w:spacing w:val="-7"/>
          <w:sz w:val="24"/>
        </w:rPr>
        <w:t xml:space="preserve"> </w:t>
      </w:r>
      <w:r>
        <w:rPr>
          <w:sz w:val="24"/>
        </w:rPr>
        <w:t>environment</w:t>
      </w:r>
      <w:r>
        <w:rPr>
          <w:spacing w:val="-7"/>
          <w:sz w:val="24"/>
        </w:rPr>
        <w:t xml:space="preserve"> </w:t>
      </w:r>
      <w:r>
        <w:rPr>
          <w:sz w:val="24"/>
        </w:rPr>
        <w:t>for</w:t>
      </w:r>
      <w:r>
        <w:rPr>
          <w:spacing w:val="-7"/>
          <w:sz w:val="24"/>
        </w:rPr>
        <w:t xml:space="preserve"> </w:t>
      </w:r>
      <w:r>
        <w:rPr>
          <w:sz w:val="24"/>
        </w:rPr>
        <w:t>statistical</w:t>
      </w:r>
      <w:r>
        <w:rPr>
          <w:spacing w:val="-7"/>
          <w:sz w:val="24"/>
        </w:rPr>
        <w:t xml:space="preserve"> </w:t>
      </w:r>
      <w:r>
        <w:rPr>
          <w:sz w:val="24"/>
        </w:rPr>
        <w:t>computing;</w:t>
      </w:r>
      <w:r>
        <w:rPr>
          <w:spacing w:val="-7"/>
          <w:sz w:val="24"/>
        </w:rPr>
        <w:t xml:space="preserve"> </w:t>
      </w:r>
      <w:r>
        <w:rPr>
          <w:sz w:val="24"/>
        </w:rPr>
        <w:t>2022.</w:t>
      </w:r>
      <w:r>
        <w:rPr>
          <w:spacing w:val="-7"/>
          <w:sz w:val="24"/>
        </w:rPr>
        <w:t xml:space="preserve"> </w:t>
      </w:r>
      <w:r>
        <w:rPr>
          <w:sz w:val="24"/>
        </w:rPr>
        <w:t xml:space="preserve">Available at: </w:t>
      </w:r>
      <w:hyperlink r:id="rId10">
        <w:r>
          <w:rPr>
            <w:color w:val="1154CC"/>
            <w:sz w:val="24"/>
            <w:u w:val="thick" w:color="1154CC"/>
          </w:rPr>
          <w:t>www.R-project.org/</w:t>
        </w:r>
      </w:hyperlink>
      <w:r>
        <w:rPr>
          <w:color w:val="1154CC"/>
          <w:sz w:val="24"/>
        </w:rPr>
        <w:t xml:space="preserve"> </w:t>
      </w:r>
      <w:r>
        <w:rPr>
          <w:sz w:val="24"/>
        </w:rPr>
        <w:t>Accessibility verified February 7, 2024</w:t>
      </w:r>
    </w:p>
    <w:p w14:paraId="3F4571D4" w14:textId="77777777" w:rsidR="00A84015" w:rsidRDefault="00000000">
      <w:pPr>
        <w:pStyle w:val="ListParagraph"/>
        <w:numPr>
          <w:ilvl w:val="0"/>
          <w:numId w:val="1"/>
        </w:numPr>
        <w:tabs>
          <w:tab w:val="left" w:pos="1689"/>
        </w:tabs>
        <w:rPr>
          <w:sz w:val="24"/>
        </w:rPr>
      </w:pPr>
      <w:r>
        <w:rPr>
          <w:sz w:val="24"/>
        </w:rPr>
        <w:t>Ministerio</w:t>
      </w:r>
      <w:r>
        <w:rPr>
          <w:spacing w:val="-2"/>
          <w:sz w:val="24"/>
        </w:rPr>
        <w:t xml:space="preserve"> </w:t>
      </w:r>
      <w:r>
        <w:rPr>
          <w:sz w:val="24"/>
        </w:rPr>
        <w:t>de</w:t>
      </w:r>
      <w:r>
        <w:rPr>
          <w:spacing w:val="-1"/>
          <w:sz w:val="24"/>
        </w:rPr>
        <w:t xml:space="preserve"> </w:t>
      </w:r>
      <w:r>
        <w:rPr>
          <w:sz w:val="24"/>
        </w:rPr>
        <w:t>Salud</w:t>
      </w:r>
      <w:r>
        <w:rPr>
          <w:spacing w:val="-2"/>
          <w:sz w:val="24"/>
        </w:rPr>
        <w:t xml:space="preserve"> </w:t>
      </w:r>
      <w:r>
        <w:rPr>
          <w:sz w:val="24"/>
        </w:rPr>
        <w:t>de</w:t>
      </w:r>
      <w:r>
        <w:rPr>
          <w:spacing w:val="-1"/>
          <w:sz w:val="24"/>
        </w:rPr>
        <w:t xml:space="preserve"> </w:t>
      </w:r>
      <w:r>
        <w:rPr>
          <w:sz w:val="24"/>
        </w:rPr>
        <w:t>la</w:t>
      </w:r>
      <w:r>
        <w:rPr>
          <w:spacing w:val="-2"/>
          <w:sz w:val="24"/>
        </w:rPr>
        <w:t xml:space="preserve"> </w:t>
      </w:r>
      <w:r>
        <w:rPr>
          <w:sz w:val="24"/>
        </w:rPr>
        <w:t>Nación.</w:t>
      </w:r>
      <w:r>
        <w:rPr>
          <w:spacing w:val="-1"/>
          <w:sz w:val="24"/>
        </w:rPr>
        <w:t xml:space="preserve"> </w:t>
      </w:r>
      <w:r>
        <w:rPr>
          <w:sz w:val="24"/>
        </w:rPr>
        <w:t>Otros</w:t>
      </w:r>
      <w:r>
        <w:rPr>
          <w:spacing w:val="-2"/>
          <w:sz w:val="24"/>
        </w:rPr>
        <w:t xml:space="preserve"> </w:t>
      </w:r>
      <w:r>
        <w:rPr>
          <w:sz w:val="24"/>
        </w:rPr>
        <w:t>productos</w:t>
      </w:r>
      <w:r>
        <w:rPr>
          <w:spacing w:val="-1"/>
          <w:sz w:val="24"/>
        </w:rPr>
        <w:t xml:space="preserve"> </w:t>
      </w:r>
      <w:r>
        <w:rPr>
          <w:sz w:val="24"/>
        </w:rPr>
        <w:t>de</w:t>
      </w:r>
      <w:r>
        <w:rPr>
          <w:spacing w:val="-2"/>
          <w:sz w:val="24"/>
        </w:rPr>
        <w:t xml:space="preserve"> </w:t>
      </w:r>
      <w:r>
        <w:rPr>
          <w:sz w:val="24"/>
        </w:rPr>
        <w:t>tabaco;</w:t>
      </w:r>
      <w:r>
        <w:rPr>
          <w:spacing w:val="-1"/>
          <w:sz w:val="24"/>
        </w:rPr>
        <w:t xml:space="preserve"> </w:t>
      </w:r>
      <w:r>
        <w:rPr>
          <w:sz w:val="24"/>
        </w:rPr>
        <w:t>2023.</w:t>
      </w:r>
      <w:r>
        <w:rPr>
          <w:spacing w:val="-2"/>
          <w:sz w:val="24"/>
        </w:rPr>
        <w:t xml:space="preserve"> </w:t>
      </w:r>
      <w:r>
        <w:rPr>
          <w:sz w:val="24"/>
        </w:rPr>
        <w:t>Available</w:t>
      </w:r>
      <w:r>
        <w:rPr>
          <w:spacing w:val="-1"/>
          <w:sz w:val="24"/>
        </w:rPr>
        <w:t xml:space="preserve"> </w:t>
      </w:r>
      <w:r>
        <w:rPr>
          <w:spacing w:val="-5"/>
          <w:sz w:val="24"/>
        </w:rPr>
        <w:t>at:</w:t>
      </w:r>
    </w:p>
    <w:p w14:paraId="662C9E37" w14:textId="77777777" w:rsidR="00A84015" w:rsidRDefault="00000000">
      <w:pPr>
        <w:pStyle w:val="BodyText"/>
        <w:spacing w:before="276" w:line="480" w:lineRule="auto"/>
        <w:ind w:left="1689" w:right="1608"/>
      </w:pPr>
      <w:hyperlink r:id="rId11">
        <w:r>
          <w:rPr>
            <w:color w:val="1154CC"/>
            <w:u w:val="thick" w:color="1154CC"/>
          </w:rPr>
          <w:t>www.argentina.gob.ar/salud/consumo-de-tabaco/otros-productos</w:t>
        </w:r>
      </w:hyperlink>
      <w:r>
        <w:rPr>
          <w:color w:val="1154CC"/>
          <w:spacing w:val="-15"/>
        </w:rPr>
        <w:t xml:space="preserve"> </w:t>
      </w:r>
      <w:r>
        <w:t>Accessibility</w:t>
      </w:r>
      <w:r>
        <w:rPr>
          <w:spacing w:val="-15"/>
        </w:rPr>
        <w:t xml:space="preserve"> </w:t>
      </w:r>
      <w:r>
        <w:t>verified February 7, 2024</w:t>
      </w:r>
    </w:p>
    <w:p w14:paraId="58BE99C4" w14:textId="77777777" w:rsidR="00A84015" w:rsidRDefault="00000000">
      <w:pPr>
        <w:pStyle w:val="ListParagraph"/>
        <w:numPr>
          <w:ilvl w:val="0"/>
          <w:numId w:val="1"/>
        </w:numPr>
        <w:tabs>
          <w:tab w:val="left" w:pos="1659"/>
        </w:tabs>
        <w:ind w:left="1659" w:hanging="360"/>
        <w:rPr>
          <w:sz w:val="24"/>
        </w:rPr>
      </w:pPr>
      <w:r>
        <w:rPr>
          <w:sz w:val="24"/>
        </w:rPr>
        <w:t>Instituto</w:t>
      </w:r>
      <w:r>
        <w:rPr>
          <w:spacing w:val="-1"/>
          <w:sz w:val="24"/>
        </w:rPr>
        <w:t xml:space="preserve"> </w:t>
      </w:r>
      <w:r>
        <w:rPr>
          <w:sz w:val="24"/>
        </w:rPr>
        <w:t>Nacional</w:t>
      </w:r>
      <w:r>
        <w:rPr>
          <w:spacing w:val="-1"/>
          <w:sz w:val="24"/>
        </w:rPr>
        <w:t xml:space="preserve"> </w:t>
      </w:r>
      <w:r>
        <w:rPr>
          <w:sz w:val="24"/>
        </w:rPr>
        <w:t>de</w:t>
      </w:r>
      <w:r>
        <w:rPr>
          <w:spacing w:val="-1"/>
          <w:sz w:val="24"/>
        </w:rPr>
        <w:t xml:space="preserve"> </w:t>
      </w:r>
      <w:r>
        <w:rPr>
          <w:sz w:val="24"/>
        </w:rPr>
        <w:t>Estadística</w:t>
      </w:r>
      <w:r>
        <w:rPr>
          <w:spacing w:val="-1"/>
          <w:sz w:val="24"/>
        </w:rPr>
        <w:t xml:space="preserve"> </w:t>
      </w:r>
      <w:r>
        <w:rPr>
          <w:sz w:val="24"/>
        </w:rPr>
        <w:t>y</w:t>
      </w:r>
      <w:r>
        <w:rPr>
          <w:spacing w:val="-1"/>
          <w:sz w:val="24"/>
        </w:rPr>
        <w:t xml:space="preserve"> </w:t>
      </w:r>
      <w:r>
        <w:rPr>
          <w:sz w:val="24"/>
        </w:rPr>
        <w:t xml:space="preserve">Censos. </w:t>
      </w:r>
      <w:r>
        <w:rPr>
          <w:i/>
          <w:sz w:val="24"/>
        </w:rPr>
        <w:t>4ta</w:t>
      </w:r>
      <w:r>
        <w:rPr>
          <w:i/>
          <w:spacing w:val="-1"/>
          <w:sz w:val="24"/>
        </w:rPr>
        <w:t xml:space="preserve"> </w:t>
      </w:r>
      <w:r>
        <w:rPr>
          <w:i/>
          <w:sz w:val="24"/>
        </w:rPr>
        <w:t>Encuesta</w:t>
      </w:r>
      <w:r>
        <w:rPr>
          <w:i/>
          <w:spacing w:val="-1"/>
          <w:sz w:val="24"/>
        </w:rPr>
        <w:t xml:space="preserve"> </w:t>
      </w:r>
      <w:r>
        <w:rPr>
          <w:i/>
          <w:sz w:val="24"/>
        </w:rPr>
        <w:t>Nacional</w:t>
      </w:r>
      <w:r>
        <w:rPr>
          <w:i/>
          <w:spacing w:val="-1"/>
          <w:sz w:val="24"/>
        </w:rPr>
        <w:t xml:space="preserve"> </w:t>
      </w:r>
      <w:r>
        <w:rPr>
          <w:i/>
          <w:sz w:val="24"/>
        </w:rPr>
        <w:t>Factores</w:t>
      </w:r>
      <w:r>
        <w:rPr>
          <w:i/>
          <w:spacing w:val="-1"/>
          <w:sz w:val="24"/>
        </w:rPr>
        <w:t xml:space="preserve"> </w:t>
      </w:r>
      <w:r>
        <w:rPr>
          <w:i/>
          <w:sz w:val="24"/>
        </w:rPr>
        <w:t xml:space="preserve">de </w:t>
      </w:r>
      <w:r>
        <w:rPr>
          <w:i/>
          <w:spacing w:val="-2"/>
          <w:sz w:val="24"/>
        </w:rPr>
        <w:t>Riesgo</w:t>
      </w:r>
      <w:r>
        <w:rPr>
          <w:spacing w:val="-2"/>
          <w:sz w:val="24"/>
        </w:rPr>
        <w:t>.</w:t>
      </w:r>
    </w:p>
    <w:p w14:paraId="231DE2B9" w14:textId="77777777" w:rsidR="00A84015" w:rsidRDefault="00000000">
      <w:pPr>
        <w:pStyle w:val="BodyText"/>
        <w:spacing w:before="276"/>
        <w:ind w:left="1689"/>
      </w:pPr>
      <w:r>
        <w:t>Secretaría</w:t>
      </w:r>
      <w:r>
        <w:rPr>
          <w:spacing w:val="-2"/>
        </w:rPr>
        <w:t xml:space="preserve"> </w:t>
      </w:r>
      <w:r>
        <w:t>de</w:t>
      </w:r>
      <w:r>
        <w:rPr>
          <w:spacing w:val="-2"/>
        </w:rPr>
        <w:t xml:space="preserve"> </w:t>
      </w:r>
      <w:r>
        <w:t>Gobierno</w:t>
      </w:r>
      <w:r>
        <w:rPr>
          <w:spacing w:val="-2"/>
        </w:rPr>
        <w:t xml:space="preserve"> </w:t>
      </w:r>
      <w:r>
        <w:t>de</w:t>
      </w:r>
      <w:r>
        <w:rPr>
          <w:spacing w:val="-2"/>
        </w:rPr>
        <w:t xml:space="preserve"> </w:t>
      </w:r>
      <w:r>
        <w:t>Salud</w:t>
      </w:r>
      <w:r>
        <w:rPr>
          <w:spacing w:val="-1"/>
        </w:rPr>
        <w:t xml:space="preserve"> </w:t>
      </w:r>
      <w:r>
        <w:t>de</w:t>
      </w:r>
      <w:r>
        <w:rPr>
          <w:spacing w:val="-2"/>
        </w:rPr>
        <w:t xml:space="preserve"> </w:t>
      </w:r>
      <w:r>
        <w:t>la</w:t>
      </w:r>
      <w:r>
        <w:rPr>
          <w:spacing w:val="-2"/>
        </w:rPr>
        <w:t xml:space="preserve"> </w:t>
      </w:r>
      <w:r>
        <w:t>Nación;</w:t>
      </w:r>
      <w:r>
        <w:rPr>
          <w:spacing w:val="-2"/>
        </w:rPr>
        <w:t xml:space="preserve"> </w:t>
      </w:r>
      <w:r>
        <w:t>2019.</w:t>
      </w:r>
      <w:r>
        <w:rPr>
          <w:spacing w:val="-2"/>
        </w:rPr>
        <w:t xml:space="preserve"> </w:t>
      </w:r>
      <w:r>
        <w:t>Available</w:t>
      </w:r>
      <w:r>
        <w:rPr>
          <w:spacing w:val="-1"/>
        </w:rPr>
        <w:t xml:space="preserve"> </w:t>
      </w:r>
      <w:r>
        <w:rPr>
          <w:spacing w:val="-5"/>
        </w:rPr>
        <w:t>at</w:t>
      </w:r>
    </w:p>
    <w:p w14:paraId="4C8FA9F9" w14:textId="77777777" w:rsidR="00A84015" w:rsidRDefault="00A84015">
      <w:pPr>
        <w:pStyle w:val="BodyText"/>
        <w:sectPr w:rsidR="00A84015">
          <w:pgSz w:w="11920" w:h="16840"/>
          <w:pgMar w:top="1380" w:right="141" w:bottom="280" w:left="141" w:header="720" w:footer="720" w:gutter="0"/>
          <w:cols w:space="720"/>
        </w:sectPr>
      </w:pPr>
    </w:p>
    <w:p w14:paraId="3E789C56" w14:textId="77777777" w:rsidR="00A84015" w:rsidRDefault="00000000">
      <w:pPr>
        <w:pStyle w:val="BodyText"/>
        <w:spacing w:before="60" w:line="480" w:lineRule="auto"/>
        <w:ind w:left="1689" w:right="1086"/>
      </w:pPr>
      <w:hyperlink r:id="rId12">
        <w:r>
          <w:rPr>
            <w:color w:val="1154CC"/>
            <w:spacing w:val="-2"/>
            <w:u w:val="thick" w:color="1154CC"/>
          </w:rPr>
          <w:t>https://www.indec.gob.ar/ftp/cuadros/publicaciones/enfr_2018_resultados_definitivos.pdf</w:t>
        </w:r>
      </w:hyperlink>
      <w:r>
        <w:rPr>
          <w:color w:val="1154CC"/>
          <w:spacing w:val="-2"/>
        </w:rPr>
        <w:t xml:space="preserve"> </w:t>
      </w:r>
      <w:r>
        <w:t>Accessibility verified February 8, 2024</w:t>
      </w:r>
    </w:p>
    <w:p w14:paraId="341251C8" w14:textId="77777777" w:rsidR="00A84015" w:rsidRDefault="00000000">
      <w:pPr>
        <w:pStyle w:val="ListParagraph"/>
        <w:numPr>
          <w:ilvl w:val="0"/>
          <w:numId w:val="1"/>
        </w:numPr>
        <w:tabs>
          <w:tab w:val="left" w:pos="1689"/>
        </w:tabs>
        <w:spacing w:line="480" w:lineRule="auto"/>
        <w:ind w:right="1628"/>
        <w:rPr>
          <w:sz w:val="24"/>
        </w:rPr>
      </w:pPr>
      <w:r>
        <w:rPr>
          <w:sz w:val="24"/>
        </w:rPr>
        <w:t>Gilmore</w:t>
      </w:r>
      <w:r>
        <w:rPr>
          <w:spacing w:val="-6"/>
          <w:sz w:val="24"/>
        </w:rPr>
        <w:t xml:space="preserve"> </w:t>
      </w:r>
      <w:r>
        <w:rPr>
          <w:sz w:val="24"/>
        </w:rPr>
        <w:t>AB,</w:t>
      </w:r>
      <w:r>
        <w:rPr>
          <w:spacing w:val="-6"/>
          <w:sz w:val="24"/>
        </w:rPr>
        <w:t xml:space="preserve"> </w:t>
      </w:r>
      <w:r>
        <w:rPr>
          <w:sz w:val="24"/>
        </w:rPr>
        <w:t>Tavakoly</w:t>
      </w:r>
      <w:r>
        <w:rPr>
          <w:spacing w:val="-6"/>
          <w:sz w:val="24"/>
        </w:rPr>
        <w:t xml:space="preserve"> </w:t>
      </w:r>
      <w:r>
        <w:rPr>
          <w:sz w:val="24"/>
        </w:rPr>
        <w:t>B,</w:t>
      </w:r>
      <w:r>
        <w:rPr>
          <w:spacing w:val="-6"/>
          <w:sz w:val="24"/>
        </w:rPr>
        <w:t xml:space="preserve"> </w:t>
      </w:r>
      <w:r>
        <w:rPr>
          <w:sz w:val="24"/>
        </w:rPr>
        <w:t>Hiscock</w:t>
      </w:r>
      <w:r>
        <w:rPr>
          <w:spacing w:val="-6"/>
          <w:sz w:val="24"/>
        </w:rPr>
        <w:t xml:space="preserve"> </w:t>
      </w:r>
      <w:r>
        <w:rPr>
          <w:sz w:val="24"/>
        </w:rPr>
        <w:t>R,</w:t>
      </w:r>
      <w:r>
        <w:rPr>
          <w:spacing w:val="-6"/>
          <w:sz w:val="24"/>
        </w:rPr>
        <w:t xml:space="preserve"> </w:t>
      </w:r>
      <w:r>
        <w:rPr>
          <w:sz w:val="24"/>
        </w:rPr>
        <w:t>Taylor</w:t>
      </w:r>
      <w:r>
        <w:rPr>
          <w:spacing w:val="-6"/>
          <w:sz w:val="24"/>
        </w:rPr>
        <w:t xml:space="preserve"> </w:t>
      </w:r>
      <w:r>
        <w:rPr>
          <w:sz w:val="24"/>
        </w:rPr>
        <w:t>G.</w:t>
      </w:r>
      <w:r>
        <w:rPr>
          <w:spacing w:val="-6"/>
          <w:sz w:val="24"/>
        </w:rPr>
        <w:t xml:space="preserve"> </w:t>
      </w:r>
      <w:r>
        <w:rPr>
          <w:sz w:val="24"/>
        </w:rPr>
        <w:t>Smoking</w:t>
      </w:r>
      <w:r>
        <w:rPr>
          <w:spacing w:val="-6"/>
          <w:sz w:val="24"/>
        </w:rPr>
        <w:t xml:space="preserve"> </w:t>
      </w:r>
      <w:r>
        <w:rPr>
          <w:sz w:val="24"/>
        </w:rPr>
        <w:t>patterns</w:t>
      </w:r>
      <w:r>
        <w:rPr>
          <w:spacing w:val="-6"/>
          <w:sz w:val="24"/>
        </w:rPr>
        <w:t xml:space="preserve"> </w:t>
      </w:r>
      <w:r>
        <w:rPr>
          <w:sz w:val="24"/>
        </w:rPr>
        <w:t>in</w:t>
      </w:r>
      <w:r>
        <w:rPr>
          <w:spacing w:val="-6"/>
          <w:sz w:val="24"/>
        </w:rPr>
        <w:t xml:space="preserve"> </w:t>
      </w:r>
      <w:r>
        <w:rPr>
          <w:sz w:val="24"/>
        </w:rPr>
        <w:t>Great</w:t>
      </w:r>
      <w:r>
        <w:rPr>
          <w:spacing w:val="-6"/>
          <w:sz w:val="24"/>
        </w:rPr>
        <w:t xml:space="preserve"> </w:t>
      </w:r>
      <w:r>
        <w:rPr>
          <w:sz w:val="24"/>
        </w:rPr>
        <w:t>Britain:</w:t>
      </w:r>
      <w:r>
        <w:rPr>
          <w:spacing w:val="-6"/>
          <w:sz w:val="24"/>
        </w:rPr>
        <w:t xml:space="preserve"> </w:t>
      </w:r>
      <w:r>
        <w:rPr>
          <w:sz w:val="24"/>
        </w:rPr>
        <w:t xml:space="preserve">the rise of cheap cigarette brands and roll your own (RYO) tobacco. </w:t>
      </w:r>
      <w:r>
        <w:rPr>
          <w:i/>
          <w:sz w:val="24"/>
        </w:rPr>
        <w:t>J Public Health</w:t>
      </w:r>
      <w:r>
        <w:rPr>
          <w:sz w:val="24"/>
        </w:rPr>
        <w:t>. 2015;37(1):78-88. doi: 10.1093/pubmed/fdu048</w:t>
      </w:r>
    </w:p>
    <w:p w14:paraId="3DD82486" w14:textId="77777777" w:rsidR="00A84015" w:rsidRDefault="00000000">
      <w:pPr>
        <w:pStyle w:val="ListParagraph"/>
        <w:numPr>
          <w:ilvl w:val="0"/>
          <w:numId w:val="1"/>
        </w:numPr>
        <w:tabs>
          <w:tab w:val="left" w:pos="1689"/>
        </w:tabs>
        <w:spacing w:line="480" w:lineRule="auto"/>
        <w:ind w:right="1940"/>
        <w:jc w:val="both"/>
        <w:rPr>
          <w:sz w:val="24"/>
        </w:rPr>
      </w:pPr>
      <w:r>
        <w:rPr>
          <w:sz w:val="24"/>
        </w:rPr>
        <w:t>Gilmore</w:t>
      </w:r>
      <w:r>
        <w:rPr>
          <w:spacing w:val="-4"/>
          <w:sz w:val="24"/>
        </w:rPr>
        <w:t xml:space="preserve"> </w:t>
      </w:r>
      <w:r>
        <w:rPr>
          <w:sz w:val="24"/>
        </w:rPr>
        <w:t>AB,</w:t>
      </w:r>
      <w:r>
        <w:rPr>
          <w:spacing w:val="-4"/>
          <w:sz w:val="24"/>
        </w:rPr>
        <w:t xml:space="preserve"> </w:t>
      </w:r>
      <w:r>
        <w:rPr>
          <w:sz w:val="24"/>
        </w:rPr>
        <w:t>Fooks</w:t>
      </w:r>
      <w:r>
        <w:rPr>
          <w:spacing w:val="-4"/>
          <w:sz w:val="24"/>
        </w:rPr>
        <w:t xml:space="preserve"> </w:t>
      </w:r>
      <w:r>
        <w:rPr>
          <w:sz w:val="24"/>
        </w:rPr>
        <w:t>G,</w:t>
      </w:r>
      <w:r>
        <w:rPr>
          <w:spacing w:val="-4"/>
          <w:sz w:val="24"/>
        </w:rPr>
        <w:t xml:space="preserve"> </w:t>
      </w:r>
      <w:r>
        <w:rPr>
          <w:sz w:val="24"/>
        </w:rPr>
        <w:t>Drope</w:t>
      </w:r>
      <w:r>
        <w:rPr>
          <w:spacing w:val="-4"/>
          <w:sz w:val="24"/>
        </w:rPr>
        <w:t xml:space="preserve"> </w:t>
      </w:r>
      <w:r>
        <w:rPr>
          <w:sz w:val="24"/>
        </w:rPr>
        <w:t>J,</w:t>
      </w:r>
      <w:r>
        <w:rPr>
          <w:spacing w:val="-4"/>
          <w:sz w:val="24"/>
        </w:rPr>
        <w:t xml:space="preserve"> </w:t>
      </w:r>
      <w:r>
        <w:rPr>
          <w:sz w:val="24"/>
        </w:rPr>
        <w:t>Bialous</w:t>
      </w:r>
      <w:r>
        <w:rPr>
          <w:spacing w:val="-4"/>
          <w:sz w:val="24"/>
        </w:rPr>
        <w:t xml:space="preserve"> </w:t>
      </w:r>
      <w:r>
        <w:rPr>
          <w:sz w:val="24"/>
        </w:rPr>
        <w:t>SA,</w:t>
      </w:r>
      <w:r>
        <w:rPr>
          <w:spacing w:val="-4"/>
          <w:sz w:val="24"/>
        </w:rPr>
        <w:t xml:space="preserve"> </w:t>
      </w:r>
      <w:r>
        <w:rPr>
          <w:sz w:val="24"/>
        </w:rPr>
        <w:t>Jackson</w:t>
      </w:r>
      <w:r>
        <w:rPr>
          <w:spacing w:val="-4"/>
          <w:sz w:val="24"/>
        </w:rPr>
        <w:t xml:space="preserve"> </w:t>
      </w:r>
      <w:r>
        <w:rPr>
          <w:sz w:val="24"/>
        </w:rPr>
        <w:t>RR.</w:t>
      </w:r>
      <w:r>
        <w:rPr>
          <w:spacing w:val="-4"/>
          <w:sz w:val="24"/>
        </w:rPr>
        <w:t xml:space="preserve"> </w:t>
      </w:r>
      <w:r>
        <w:rPr>
          <w:sz w:val="24"/>
        </w:rPr>
        <w:t>Exposing</w:t>
      </w:r>
      <w:r>
        <w:rPr>
          <w:spacing w:val="-4"/>
          <w:sz w:val="24"/>
        </w:rPr>
        <w:t xml:space="preserve"> </w:t>
      </w:r>
      <w:r>
        <w:rPr>
          <w:sz w:val="24"/>
        </w:rPr>
        <w:t>and</w:t>
      </w:r>
      <w:r>
        <w:rPr>
          <w:spacing w:val="-4"/>
          <w:sz w:val="24"/>
        </w:rPr>
        <w:t xml:space="preserve"> </w:t>
      </w:r>
      <w:r>
        <w:rPr>
          <w:sz w:val="24"/>
        </w:rPr>
        <w:t>addressing tobacco</w:t>
      </w:r>
      <w:r>
        <w:rPr>
          <w:spacing w:val="-2"/>
          <w:sz w:val="24"/>
        </w:rPr>
        <w:t xml:space="preserve"> </w:t>
      </w:r>
      <w:r>
        <w:rPr>
          <w:sz w:val="24"/>
        </w:rPr>
        <w:t>industry</w:t>
      </w:r>
      <w:r>
        <w:rPr>
          <w:spacing w:val="-2"/>
          <w:sz w:val="24"/>
        </w:rPr>
        <w:t xml:space="preserve"> </w:t>
      </w:r>
      <w:r>
        <w:rPr>
          <w:sz w:val="24"/>
        </w:rPr>
        <w:t>conduct</w:t>
      </w:r>
      <w:r>
        <w:rPr>
          <w:spacing w:val="-2"/>
          <w:sz w:val="24"/>
        </w:rPr>
        <w:t xml:space="preserve"> </w:t>
      </w:r>
      <w:r>
        <w:rPr>
          <w:sz w:val="24"/>
        </w:rPr>
        <w:t>in</w:t>
      </w:r>
      <w:r>
        <w:rPr>
          <w:spacing w:val="-2"/>
          <w:sz w:val="24"/>
        </w:rPr>
        <w:t xml:space="preserve"> </w:t>
      </w:r>
      <w:r>
        <w:rPr>
          <w:sz w:val="24"/>
        </w:rPr>
        <w:t>low-income</w:t>
      </w:r>
      <w:r>
        <w:rPr>
          <w:spacing w:val="-2"/>
          <w:sz w:val="24"/>
        </w:rPr>
        <w:t xml:space="preserve"> </w:t>
      </w:r>
      <w:r>
        <w:rPr>
          <w:sz w:val="24"/>
        </w:rPr>
        <w:t>and</w:t>
      </w:r>
      <w:r>
        <w:rPr>
          <w:spacing w:val="-2"/>
          <w:sz w:val="24"/>
        </w:rPr>
        <w:t xml:space="preserve"> </w:t>
      </w:r>
      <w:r>
        <w:rPr>
          <w:sz w:val="24"/>
        </w:rPr>
        <w:t>middle-income</w:t>
      </w:r>
      <w:r>
        <w:rPr>
          <w:spacing w:val="-2"/>
          <w:sz w:val="24"/>
        </w:rPr>
        <w:t xml:space="preserve"> </w:t>
      </w:r>
      <w:r>
        <w:rPr>
          <w:sz w:val="24"/>
        </w:rPr>
        <w:t>countries.</w:t>
      </w:r>
      <w:r>
        <w:rPr>
          <w:spacing w:val="-2"/>
          <w:sz w:val="24"/>
        </w:rPr>
        <w:t xml:space="preserve"> </w:t>
      </w:r>
      <w:r>
        <w:rPr>
          <w:i/>
          <w:sz w:val="24"/>
        </w:rPr>
        <w:t>The</w:t>
      </w:r>
      <w:r>
        <w:rPr>
          <w:i/>
          <w:spacing w:val="-2"/>
          <w:sz w:val="24"/>
        </w:rPr>
        <w:t xml:space="preserve"> </w:t>
      </w:r>
      <w:r>
        <w:rPr>
          <w:i/>
          <w:sz w:val="24"/>
        </w:rPr>
        <w:t>Lancet</w:t>
      </w:r>
      <w:r>
        <w:rPr>
          <w:sz w:val="24"/>
        </w:rPr>
        <w:t>. 2015;385(9972):1029-1043. doi: 10.1016/S0140-6736(15)60312-9</w:t>
      </w:r>
    </w:p>
    <w:p w14:paraId="27FDEB5E" w14:textId="77777777" w:rsidR="00A84015" w:rsidRDefault="00000000">
      <w:pPr>
        <w:pStyle w:val="ListParagraph"/>
        <w:numPr>
          <w:ilvl w:val="0"/>
          <w:numId w:val="1"/>
        </w:numPr>
        <w:tabs>
          <w:tab w:val="left" w:pos="1689"/>
        </w:tabs>
        <w:spacing w:line="480" w:lineRule="auto"/>
        <w:ind w:right="1331"/>
        <w:rPr>
          <w:sz w:val="24"/>
        </w:rPr>
      </w:pPr>
      <w:r>
        <w:rPr>
          <w:sz w:val="24"/>
        </w:rPr>
        <w:t>Instituto</w:t>
      </w:r>
      <w:r>
        <w:rPr>
          <w:spacing w:val="-5"/>
          <w:sz w:val="24"/>
        </w:rPr>
        <w:t xml:space="preserve"> </w:t>
      </w:r>
      <w:r>
        <w:rPr>
          <w:sz w:val="24"/>
        </w:rPr>
        <w:t>Nacional</w:t>
      </w:r>
      <w:r>
        <w:rPr>
          <w:spacing w:val="-5"/>
          <w:sz w:val="24"/>
        </w:rPr>
        <w:t xml:space="preserve"> </w:t>
      </w:r>
      <w:r>
        <w:rPr>
          <w:sz w:val="24"/>
        </w:rPr>
        <w:t>de</w:t>
      </w:r>
      <w:r>
        <w:rPr>
          <w:spacing w:val="-5"/>
          <w:sz w:val="24"/>
        </w:rPr>
        <w:t xml:space="preserve"> </w:t>
      </w:r>
      <w:r>
        <w:rPr>
          <w:sz w:val="24"/>
        </w:rPr>
        <w:t>Estadística</w:t>
      </w:r>
      <w:r>
        <w:rPr>
          <w:spacing w:val="-5"/>
          <w:sz w:val="24"/>
        </w:rPr>
        <w:t xml:space="preserve"> </w:t>
      </w:r>
      <w:r>
        <w:rPr>
          <w:sz w:val="24"/>
        </w:rPr>
        <w:t>y</w:t>
      </w:r>
      <w:r>
        <w:rPr>
          <w:spacing w:val="-5"/>
          <w:sz w:val="24"/>
        </w:rPr>
        <w:t xml:space="preserve"> </w:t>
      </w:r>
      <w:r>
        <w:rPr>
          <w:sz w:val="24"/>
        </w:rPr>
        <w:t>Censos.</w:t>
      </w:r>
      <w:r>
        <w:rPr>
          <w:spacing w:val="-5"/>
          <w:sz w:val="24"/>
        </w:rPr>
        <w:t xml:space="preserve"> </w:t>
      </w:r>
      <w:r>
        <w:rPr>
          <w:i/>
          <w:sz w:val="24"/>
        </w:rPr>
        <w:t>Encuesta</w:t>
      </w:r>
      <w:r>
        <w:rPr>
          <w:i/>
          <w:spacing w:val="-5"/>
          <w:sz w:val="24"/>
        </w:rPr>
        <w:t xml:space="preserve"> </w:t>
      </w:r>
      <w:r>
        <w:rPr>
          <w:i/>
          <w:sz w:val="24"/>
        </w:rPr>
        <w:t>Permanente</w:t>
      </w:r>
      <w:r>
        <w:rPr>
          <w:i/>
          <w:spacing w:val="-5"/>
          <w:sz w:val="24"/>
        </w:rPr>
        <w:t xml:space="preserve"> </w:t>
      </w:r>
      <w:r>
        <w:rPr>
          <w:i/>
          <w:sz w:val="24"/>
        </w:rPr>
        <w:t>de</w:t>
      </w:r>
      <w:r>
        <w:rPr>
          <w:i/>
          <w:spacing w:val="-5"/>
          <w:sz w:val="24"/>
        </w:rPr>
        <w:t xml:space="preserve"> </w:t>
      </w:r>
      <w:r>
        <w:rPr>
          <w:i/>
          <w:sz w:val="24"/>
        </w:rPr>
        <w:t>Hogares</w:t>
      </w:r>
      <w:r>
        <w:rPr>
          <w:i/>
          <w:spacing w:val="-5"/>
          <w:sz w:val="24"/>
        </w:rPr>
        <w:t xml:space="preserve"> </w:t>
      </w:r>
      <w:r>
        <w:rPr>
          <w:i/>
          <w:sz w:val="24"/>
        </w:rPr>
        <w:t>(EPH)</w:t>
      </w:r>
      <w:r>
        <w:rPr>
          <w:i/>
          <w:spacing w:val="-5"/>
          <w:sz w:val="24"/>
        </w:rPr>
        <w:t xml:space="preserve"> </w:t>
      </w:r>
      <w:r>
        <w:rPr>
          <w:i/>
          <w:sz w:val="24"/>
        </w:rPr>
        <w:t>total urbano.</w:t>
      </w:r>
      <w:r>
        <w:rPr>
          <w:i/>
          <w:spacing w:val="-2"/>
          <w:sz w:val="24"/>
        </w:rPr>
        <w:t xml:space="preserve"> </w:t>
      </w:r>
      <w:r>
        <w:rPr>
          <w:i/>
          <w:sz w:val="24"/>
        </w:rPr>
        <w:t>Evolución</w:t>
      </w:r>
      <w:r>
        <w:rPr>
          <w:i/>
          <w:spacing w:val="-2"/>
          <w:sz w:val="24"/>
        </w:rPr>
        <w:t xml:space="preserve"> </w:t>
      </w:r>
      <w:r>
        <w:rPr>
          <w:i/>
          <w:sz w:val="24"/>
        </w:rPr>
        <w:t>de</w:t>
      </w:r>
      <w:r>
        <w:rPr>
          <w:i/>
          <w:spacing w:val="-2"/>
          <w:sz w:val="24"/>
        </w:rPr>
        <w:t xml:space="preserve"> </w:t>
      </w:r>
      <w:r>
        <w:rPr>
          <w:i/>
          <w:sz w:val="24"/>
        </w:rPr>
        <w:t>la</w:t>
      </w:r>
      <w:r>
        <w:rPr>
          <w:i/>
          <w:spacing w:val="-2"/>
          <w:sz w:val="24"/>
        </w:rPr>
        <w:t xml:space="preserve"> </w:t>
      </w:r>
      <w:r>
        <w:rPr>
          <w:i/>
          <w:sz w:val="24"/>
        </w:rPr>
        <w:t>distribución</w:t>
      </w:r>
      <w:r>
        <w:rPr>
          <w:i/>
          <w:spacing w:val="-2"/>
          <w:sz w:val="24"/>
        </w:rPr>
        <w:t xml:space="preserve"> </w:t>
      </w:r>
      <w:r>
        <w:rPr>
          <w:i/>
          <w:sz w:val="24"/>
        </w:rPr>
        <w:t>del</w:t>
      </w:r>
      <w:r>
        <w:rPr>
          <w:i/>
          <w:spacing w:val="-2"/>
          <w:sz w:val="24"/>
        </w:rPr>
        <w:t xml:space="preserve"> </w:t>
      </w:r>
      <w:r>
        <w:rPr>
          <w:i/>
          <w:sz w:val="24"/>
        </w:rPr>
        <w:t>ingreso.</w:t>
      </w:r>
      <w:r>
        <w:rPr>
          <w:i/>
          <w:spacing w:val="-2"/>
          <w:sz w:val="24"/>
        </w:rPr>
        <w:t xml:space="preserve"> </w:t>
      </w:r>
      <w:r>
        <w:rPr>
          <w:i/>
          <w:sz w:val="24"/>
        </w:rPr>
        <w:t>Tercer</w:t>
      </w:r>
      <w:r>
        <w:rPr>
          <w:i/>
          <w:spacing w:val="-2"/>
          <w:sz w:val="24"/>
        </w:rPr>
        <w:t xml:space="preserve"> </w:t>
      </w:r>
      <w:r>
        <w:rPr>
          <w:i/>
          <w:sz w:val="24"/>
        </w:rPr>
        <w:t>trimestre</w:t>
      </w:r>
      <w:r>
        <w:rPr>
          <w:i/>
          <w:spacing w:val="-2"/>
          <w:sz w:val="24"/>
        </w:rPr>
        <w:t xml:space="preserve"> </w:t>
      </w:r>
      <w:r>
        <w:rPr>
          <w:i/>
          <w:sz w:val="24"/>
        </w:rPr>
        <w:t>de</w:t>
      </w:r>
      <w:r>
        <w:rPr>
          <w:i/>
          <w:spacing w:val="-2"/>
          <w:sz w:val="24"/>
        </w:rPr>
        <w:t xml:space="preserve"> </w:t>
      </w:r>
      <w:r>
        <w:rPr>
          <w:i/>
          <w:sz w:val="24"/>
        </w:rPr>
        <w:t>2022</w:t>
      </w:r>
      <w:r>
        <w:rPr>
          <w:sz w:val="24"/>
        </w:rPr>
        <w:t>.</w:t>
      </w:r>
      <w:r>
        <w:rPr>
          <w:spacing w:val="-2"/>
          <w:sz w:val="24"/>
        </w:rPr>
        <w:t xml:space="preserve"> </w:t>
      </w:r>
      <w:r>
        <w:rPr>
          <w:sz w:val="24"/>
        </w:rPr>
        <w:t>Ministerio</w:t>
      </w:r>
      <w:r>
        <w:rPr>
          <w:spacing w:val="-2"/>
          <w:sz w:val="24"/>
        </w:rPr>
        <w:t xml:space="preserve"> </w:t>
      </w:r>
      <w:r>
        <w:rPr>
          <w:sz w:val="24"/>
        </w:rPr>
        <w:t>de Economía Argentina; 2023. Available at</w:t>
      </w:r>
    </w:p>
    <w:p w14:paraId="533B41F3" w14:textId="77777777" w:rsidR="00A84015" w:rsidRDefault="00000000">
      <w:pPr>
        <w:pStyle w:val="BodyText"/>
        <w:spacing w:line="480" w:lineRule="auto"/>
        <w:ind w:left="1689" w:right="1086"/>
      </w:pPr>
      <w:hyperlink r:id="rId13">
        <w:r>
          <w:rPr>
            <w:color w:val="1154CC"/>
            <w:spacing w:val="-2"/>
            <w:u w:val="thick" w:color="1154CC"/>
          </w:rPr>
          <w:t>www.indec.gob.ar/uploads/informesdeprensa/eph_total_urbano_ingresos_02_234C62770</w:t>
        </w:r>
      </w:hyperlink>
      <w:r>
        <w:rPr>
          <w:color w:val="1154CC"/>
          <w:spacing w:val="-2"/>
        </w:rPr>
        <w:t xml:space="preserve"> </w:t>
      </w:r>
      <w:hyperlink r:id="rId14">
        <w:r>
          <w:rPr>
            <w:color w:val="1154CC"/>
            <w:u w:val="thick" w:color="1154CC"/>
          </w:rPr>
          <w:t>929.pdf</w:t>
        </w:r>
      </w:hyperlink>
      <w:r>
        <w:rPr>
          <w:color w:val="1154CC"/>
        </w:rPr>
        <w:t xml:space="preserve"> </w:t>
      </w:r>
      <w:r>
        <w:t>Accessibility verified February 8, 2024</w:t>
      </w:r>
    </w:p>
    <w:p w14:paraId="235DE816" w14:textId="77777777" w:rsidR="00A84015" w:rsidRDefault="00000000">
      <w:pPr>
        <w:pStyle w:val="ListParagraph"/>
        <w:numPr>
          <w:ilvl w:val="0"/>
          <w:numId w:val="1"/>
        </w:numPr>
        <w:tabs>
          <w:tab w:val="left" w:pos="1689"/>
        </w:tabs>
        <w:spacing w:line="480" w:lineRule="auto"/>
        <w:ind w:right="1437"/>
        <w:rPr>
          <w:sz w:val="24"/>
        </w:rPr>
      </w:pPr>
      <w:r>
        <w:rPr>
          <w:sz w:val="24"/>
        </w:rPr>
        <w:t>Morello</w:t>
      </w:r>
      <w:r>
        <w:rPr>
          <w:spacing w:val="-8"/>
          <w:sz w:val="24"/>
        </w:rPr>
        <w:t xml:space="preserve"> </w:t>
      </w:r>
      <w:r>
        <w:rPr>
          <w:sz w:val="24"/>
        </w:rPr>
        <w:t>P,</w:t>
      </w:r>
      <w:r>
        <w:rPr>
          <w:spacing w:val="-8"/>
          <w:sz w:val="24"/>
        </w:rPr>
        <w:t xml:space="preserve"> </w:t>
      </w:r>
      <w:r>
        <w:rPr>
          <w:sz w:val="24"/>
        </w:rPr>
        <w:t>Barrientos</w:t>
      </w:r>
      <w:r>
        <w:rPr>
          <w:spacing w:val="-8"/>
          <w:sz w:val="24"/>
        </w:rPr>
        <w:t xml:space="preserve"> </w:t>
      </w:r>
      <w:r>
        <w:rPr>
          <w:sz w:val="24"/>
        </w:rPr>
        <w:t>I,</w:t>
      </w:r>
      <w:r>
        <w:rPr>
          <w:spacing w:val="-8"/>
          <w:sz w:val="24"/>
        </w:rPr>
        <w:t xml:space="preserve"> </w:t>
      </w:r>
      <w:r>
        <w:rPr>
          <w:sz w:val="24"/>
        </w:rPr>
        <w:t>Lozano</w:t>
      </w:r>
      <w:r>
        <w:rPr>
          <w:spacing w:val="-8"/>
          <w:sz w:val="24"/>
        </w:rPr>
        <w:t xml:space="preserve"> </w:t>
      </w:r>
      <w:r>
        <w:rPr>
          <w:sz w:val="24"/>
        </w:rPr>
        <w:t>P,</w:t>
      </w:r>
      <w:r>
        <w:rPr>
          <w:spacing w:val="-8"/>
          <w:sz w:val="24"/>
        </w:rPr>
        <w:t xml:space="preserve"> </w:t>
      </w:r>
      <w:r>
        <w:rPr>
          <w:sz w:val="24"/>
        </w:rPr>
        <w:t>Mejia</w:t>
      </w:r>
      <w:r>
        <w:rPr>
          <w:spacing w:val="-8"/>
          <w:sz w:val="24"/>
        </w:rPr>
        <w:t xml:space="preserve"> </w:t>
      </w:r>
      <w:r>
        <w:rPr>
          <w:sz w:val="24"/>
        </w:rPr>
        <w:t>R,</w:t>
      </w:r>
      <w:r>
        <w:rPr>
          <w:spacing w:val="-8"/>
          <w:sz w:val="24"/>
        </w:rPr>
        <w:t xml:space="preserve"> </w:t>
      </w:r>
      <w:r>
        <w:rPr>
          <w:sz w:val="24"/>
        </w:rPr>
        <w:t>Trasher</w:t>
      </w:r>
      <w:r>
        <w:rPr>
          <w:spacing w:val="-8"/>
          <w:sz w:val="24"/>
        </w:rPr>
        <w:t xml:space="preserve"> </w:t>
      </w:r>
      <w:r>
        <w:rPr>
          <w:sz w:val="24"/>
        </w:rPr>
        <w:t>J,</w:t>
      </w:r>
      <w:r>
        <w:rPr>
          <w:spacing w:val="-8"/>
          <w:sz w:val="24"/>
        </w:rPr>
        <w:t xml:space="preserve"> </w:t>
      </w:r>
      <w:r>
        <w:rPr>
          <w:sz w:val="24"/>
        </w:rPr>
        <w:t>Salloum</w:t>
      </w:r>
      <w:r>
        <w:rPr>
          <w:spacing w:val="-8"/>
          <w:sz w:val="24"/>
        </w:rPr>
        <w:t xml:space="preserve"> </w:t>
      </w:r>
      <w:r>
        <w:rPr>
          <w:sz w:val="24"/>
        </w:rPr>
        <w:t>RG.</w:t>
      </w:r>
      <w:r>
        <w:rPr>
          <w:spacing w:val="-8"/>
          <w:sz w:val="24"/>
        </w:rPr>
        <w:t xml:space="preserve"> </w:t>
      </w:r>
      <w:r>
        <w:rPr>
          <w:sz w:val="24"/>
        </w:rPr>
        <w:t>Interest</w:t>
      </w:r>
      <w:r>
        <w:rPr>
          <w:spacing w:val="-8"/>
          <w:sz w:val="24"/>
        </w:rPr>
        <w:t xml:space="preserve"> </w:t>
      </w:r>
      <w:r>
        <w:rPr>
          <w:sz w:val="24"/>
        </w:rPr>
        <w:t>in</w:t>
      </w:r>
      <w:r>
        <w:rPr>
          <w:spacing w:val="-8"/>
          <w:sz w:val="24"/>
        </w:rPr>
        <w:t xml:space="preserve"> </w:t>
      </w:r>
      <w:r>
        <w:rPr>
          <w:sz w:val="24"/>
        </w:rPr>
        <w:t xml:space="preserve">electronic cigarettes in 5 major Spanish-speaking countries in Latin America. </w:t>
      </w:r>
      <w:r>
        <w:rPr>
          <w:i/>
          <w:sz w:val="24"/>
        </w:rPr>
        <w:t>Tob Induc Dis</w:t>
      </w:r>
      <w:r>
        <w:rPr>
          <w:sz w:val="24"/>
        </w:rPr>
        <w:t>. 2018;16(1). doi: 10.18332/tid/84147</w:t>
      </w:r>
    </w:p>
    <w:p w14:paraId="649D618B" w14:textId="77777777" w:rsidR="00A84015" w:rsidRDefault="00000000">
      <w:pPr>
        <w:pStyle w:val="ListParagraph"/>
        <w:numPr>
          <w:ilvl w:val="0"/>
          <w:numId w:val="1"/>
        </w:numPr>
        <w:tabs>
          <w:tab w:val="left" w:pos="1689"/>
        </w:tabs>
        <w:spacing w:line="480" w:lineRule="auto"/>
        <w:ind w:right="1372"/>
        <w:rPr>
          <w:sz w:val="24"/>
        </w:rPr>
      </w:pPr>
      <w:r>
        <w:rPr>
          <w:sz w:val="24"/>
        </w:rPr>
        <w:t>Moodie C, Thrasher J, Barnoya J, Barrientos-Gutíerrez I, Zavaleta A, Chaloupka FJ. Tobacco</w:t>
      </w:r>
      <w:r>
        <w:rPr>
          <w:spacing w:val="-7"/>
          <w:sz w:val="24"/>
        </w:rPr>
        <w:t xml:space="preserve"> </w:t>
      </w:r>
      <w:r>
        <w:rPr>
          <w:sz w:val="24"/>
        </w:rPr>
        <w:t>industry</w:t>
      </w:r>
      <w:r>
        <w:rPr>
          <w:spacing w:val="-7"/>
          <w:sz w:val="24"/>
        </w:rPr>
        <w:t xml:space="preserve"> </w:t>
      </w:r>
      <w:r>
        <w:rPr>
          <w:sz w:val="24"/>
        </w:rPr>
        <w:t>claims</w:t>
      </w:r>
      <w:r>
        <w:rPr>
          <w:spacing w:val="-7"/>
          <w:sz w:val="24"/>
        </w:rPr>
        <w:t xml:space="preserve"> </w:t>
      </w:r>
      <w:r>
        <w:rPr>
          <w:sz w:val="24"/>
        </w:rPr>
        <w:t>about</w:t>
      </w:r>
      <w:r>
        <w:rPr>
          <w:spacing w:val="-7"/>
          <w:sz w:val="24"/>
        </w:rPr>
        <w:t xml:space="preserve"> </w:t>
      </w:r>
      <w:r>
        <w:rPr>
          <w:sz w:val="24"/>
        </w:rPr>
        <w:t>transformation</w:t>
      </w:r>
      <w:r>
        <w:rPr>
          <w:spacing w:val="-7"/>
          <w:sz w:val="24"/>
        </w:rPr>
        <w:t xml:space="preserve"> </w:t>
      </w:r>
      <w:r>
        <w:rPr>
          <w:sz w:val="24"/>
        </w:rPr>
        <w:t>are</w:t>
      </w:r>
      <w:r>
        <w:rPr>
          <w:spacing w:val="-7"/>
          <w:sz w:val="24"/>
        </w:rPr>
        <w:t xml:space="preserve"> </w:t>
      </w:r>
      <w:r>
        <w:rPr>
          <w:sz w:val="24"/>
        </w:rPr>
        <w:t>inconsistent</w:t>
      </w:r>
      <w:r>
        <w:rPr>
          <w:spacing w:val="-7"/>
          <w:sz w:val="24"/>
        </w:rPr>
        <w:t xml:space="preserve"> </w:t>
      </w:r>
      <w:r>
        <w:rPr>
          <w:sz w:val="24"/>
        </w:rPr>
        <w:t>with</w:t>
      </w:r>
      <w:r>
        <w:rPr>
          <w:spacing w:val="-7"/>
          <w:sz w:val="24"/>
        </w:rPr>
        <w:t xml:space="preserve"> </w:t>
      </w:r>
      <w:r>
        <w:rPr>
          <w:sz w:val="24"/>
        </w:rPr>
        <w:t>combustible</w:t>
      </w:r>
      <w:r>
        <w:rPr>
          <w:spacing w:val="-7"/>
          <w:sz w:val="24"/>
        </w:rPr>
        <w:t xml:space="preserve"> </w:t>
      </w:r>
      <w:r>
        <w:rPr>
          <w:sz w:val="24"/>
        </w:rPr>
        <w:t xml:space="preserve">cigarette innovations: the case of flavor capsule cigarettes. </w:t>
      </w:r>
      <w:r>
        <w:rPr>
          <w:i/>
          <w:sz w:val="24"/>
        </w:rPr>
        <w:t>Nicotine Tob Res</w:t>
      </w:r>
      <w:r>
        <w:rPr>
          <w:sz w:val="24"/>
        </w:rPr>
        <w:t>.</w:t>
      </w:r>
    </w:p>
    <w:p w14:paraId="04B3EB44" w14:textId="77777777" w:rsidR="00A84015" w:rsidRDefault="00000000">
      <w:pPr>
        <w:pStyle w:val="BodyText"/>
        <w:ind w:left="1689"/>
      </w:pPr>
      <w:r>
        <w:t xml:space="preserve">2023;25(12):1891-1895. doi: </w:t>
      </w:r>
      <w:hyperlink r:id="rId15">
        <w:r>
          <w:rPr>
            <w:spacing w:val="-2"/>
          </w:rPr>
          <w:t>10.1093/ntr/ntac224</w:t>
        </w:r>
      </w:hyperlink>
    </w:p>
    <w:p w14:paraId="0555340C" w14:textId="77777777" w:rsidR="00A84015" w:rsidRDefault="00A84015">
      <w:pPr>
        <w:pStyle w:val="BodyText"/>
        <w:sectPr w:rsidR="00A84015">
          <w:pgSz w:w="11920" w:h="16840"/>
          <w:pgMar w:top="1380" w:right="141" w:bottom="280" w:left="141" w:header="720" w:footer="720" w:gutter="0"/>
          <w:cols w:space="720"/>
        </w:sectPr>
      </w:pPr>
    </w:p>
    <w:p w14:paraId="30BA6782" w14:textId="77777777" w:rsidR="00A84015" w:rsidRDefault="00000000">
      <w:pPr>
        <w:pStyle w:val="BodyText"/>
        <w:spacing w:before="60"/>
      </w:pPr>
      <w:r>
        <w:rPr>
          <w:b/>
        </w:rPr>
        <w:t>Table</w:t>
      </w:r>
      <w:r>
        <w:rPr>
          <w:b/>
          <w:spacing w:val="-5"/>
        </w:rPr>
        <w:t xml:space="preserve"> </w:t>
      </w:r>
      <w:r>
        <w:rPr>
          <w:b/>
        </w:rPr>
        <w:t>1:</w:t>
      </w:r>
      <w:r>
        <w:rPr>
          <w:b/>
          <w:spacing w:val="-3"/>
        </w:rPr>
        <w:t xml:space="preserve"> </w:t>
      </w:r>
      <w:r>
        <w:t>Types</w:t>
      </w:r>
      <w:r>
        <w:rPr>
          <w:spacing w:val="-3"/>
        </w:rPr>
        <w:t xml:space="preserve"> </w:t>
      </w:r>
      <w:r>
        <w:t>of</w:t>
      </w:r>
      <w:r>
        <w:rPr>
          <w:spacing w:val="-3"/>
        </w:rPr>
        <w:t xml:space="preserve"> </w:t>
      </w:r>
      <w:r>
        <w:t>points</w:t>
      </w:r>
      <w:r>
        <w:rPr>
          <w:spacing w:val="-3"/>
        </w:rPr>
        <w:t xml:space="preserve"> </w:t>
      </w:r>
      <w:r>
        <w:t>of</w:t>
      </w:r>
      <w:r>
        <w:rPr>
          <w:spacing w:val="-3"/>
        </w:rPr>
        <w:t xml:space="preserve"> </w:t>
      </w:r>
      <w:r>
        <w:t>sale</w:t>
      </w:r>
      <w:r>
        <w:rPr>
          <w:spacing w:val="-2"/>
        </w:rPr>
        <w:t xml:space="preserve"> </w:t>
      </w:r>
      <w:r>
        <w:t>according</w:t>
      </w:r>
      <w:r>
        <w:rPr>
          <w:spacing w:val="-3"/>
        </w:rPr>
        <w:t xml:space="preserve"> </w:t>
      </w:r>
      <w:r>
        <w:t>to</w:t>
      </w:r>
      <w:r>
        <w:rPr>
          <w:spacing w:val="-3"/>
        </w:rPr>
        <w:t xml:space="preserve"> </w:t>
      </w:r>
      <w:r>
        <w:t>socioeconomic</w:t>
      </w:r>
      <w:r>
        <w:rPr>
          <w:spacing w:val="-3"/>
        </w:rPr>
        <w:t xml:space="preserve"> </w:t>
      </w:r>
      <w:r>
        <w:t>status</w:t>
      </w:r>
      <w:r>
        <w:rPr>
          <w:spacing w:val="-3"/>
        </w:rPr>
        <w:t xml:space="preserve"> </w:t>
      </w:r>
      <w:r>
        <w:t>per</w:t>
      </w:r>
      <w:r>
        <w:rPr>
          <w:spacing w:val="-3"/>
        </w:rPr>
        <w:t xml:space="preserve"> </w:t>
      </w:r>
      <w:r>
        <w:t>city</w:t>
      </w:r>
      <w:r>
        <w:rPr>
          <w:spacing w:val="-3"/>
        </w:rPr>
        <w:t xml:space="preserve"> </w:t>
      </w:r>
      <w:r>
        <w:t>in</w:t>
      </w:r>
      <w:r>
        <w:rPr>
          <w:spacing w:val="-2"/>
        </w:rPr>
        <w:t xml:space="preserve"> Argentina</w:t>
      </w:r>
    </w:p>
    <w:p w14:paraId="7A21B413" w14:textId="77777777" w:rsidR="00A84015" w:rsidRDefault="00000000">
      <w:pPr>
        <w:pStyle w:val="BodyText"/>
        <w:spacing w:before="9"/>
        <w:ind w:left="0"/>
        <w:rPr>
          <w:sz w:val="14"/>
        </w:rPr>
      </w:pPr>
      <w:r>
        <w:rPr>
          <w:noProof/>
          <w:sz w:val="14"/>
        </w:rPr>
        <mc:AlternateContent>
          <mc:Choice Requires="wps">
            <w:drawing>
              <wp:anchor distT="0" distB="0" distL="0" distR="0" simplePos="0" relativeHeight="487587840" behindDoc="1" locked="0" layoutInCell="1" allowOverlap="1" wp14:anchorId="360ACA4B" wp14:editId="56FF6B5F">
                <wp:simplePos x="0" y="0"/>
                <wp:positionH relativeFrom="page">
                  <wp:posOffset>914400</wp:posOffset>
                </wp:positionH>
                <wp:positionV relativeFrom="paragraph">
                  <wp:posOffset>123204</wp:posOffset>
                </wp:positionV>
                <wp:extent cx="5727700" cy="1270"/>
                <wp:effectExtent l="0" t="0" r="0" b="0"/>
                <wp:wrapTopAndBottom/>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27700" cy="1270"/>
                        </a:xfrm>
                        <a:custGeom>
                          <a:avLst/>
                          <a:gdLst/>
                          <a:ahLst/>
                          <a:cxnLst/>
                          <a:rect l="l" t="t" r="r" b="b"/>
                          <a:pathLst>
                            <a:path w="5727700">
                              <a:moveTo>
                                <a:pt x="0" y="0"/>
                              </a:moveTo>
                              <a:lnTo>
                                <a:pt x="5727699"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2E027D4" id="Graphic 1" o:spid="_x0000_s1026" style="position:absolute;margin-left:1in;margin-top:9.7pt;width:451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57277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ABwEgIAAFwEAAAOAAAAZHJzL2Uyb0RvYy54bWysVMFu2zAMvQ/YPwi6L3YCrFmNOMXQoMOA&#10;oivQDDsrshwbk0VNVGL370fKcZJ1t2E+CJT4RD7yUV7dDZ0VRxOwBVfK+SyXwjgNVev2pfy+ffjw&#10;SQqMylXKgjOlfDUo79bv3616X5gFNGArEwQFcVj0vpRNjL7IMtSN6RTOwBtHzhpCpyJtwz6rguop&#10;emezRZ7fZD2EygfQBpFON6NTrlP8ujY6fqtrNFHYUhK3mNaQ1h2v2Xqlin1Qvmn1iYb6Bxadah0l&#10;PYfaqKjEIbR/hepaHQChjjMNXQZ13WqTaqBq5vmbal4a5U2qhZqD/twm/H9h9dPxxT8Hpo7+EfRP&#10;pI5kvcfi7OENnjBDHTrGEnExpC6+nrtohig0HX5cLpbLnJqtyTdfLFOTM1VMd/UB4xcDKY46PmIc&#10;NagmSzWTpQc3mYGUZA1t0jBKQRoGKUjD3aihV5HvMTk2RX8hwmcdHM0Wkje+YU7ULl7rrlFcys3t&#10;rRRTlYQdEWRwGurVaKTUZF8XZx2z4A7kaTYQbFs9tNYyDQz73b0N4qh4MtPHhVCIP2A+YNwobEZc&#10;cp1g1p2EGrVhlXZQvT4H0dM4lxJ/HVQwUtivjuaFZ38ywmTsJiNEew/phaQOUc7t8EMFLzh9KSNJ&#10;+wTTNKpiUo1rP2P5poPPhwh1y5KmIRoZnTY0wqnA03PjN3K9T6jLT2H9GwAA//8DAFBLAwQUAAYA&#10;CAAAACEATV78NNsAAAAKAQAADwAAAGRycy9kb3ducmV2LnhtbExPy07DMBC8I/EP1iJxow7BikqI&#10;U5VK9J5SpHJz4yUJxOsodtvw92xO9Lbz0OxMsZpcL844hs6ThsdFAgKp9rajRsP+/e1hCSJEQ9b0&#10;nlDDLwZYlbc3hcmtv1CF511sBIdQyI2GNsYhlzLULToTFn5AYu3Lj85EhmMj7WguHO56mSZJJp3p&#10;iD+0ZsBNi/XP7uQ0rLev6XD43H6kapP130+Hark3ldb3d9P6BUTEKf6bYa7P1aHkTkd/IhtEz1gp&#10;3hL5eFYgZkOiMmaOM5OBLAt5PaH8AwAA//8DAFBLAQItABQABgAIAAAAIQC2gziS/gAAAOEBAAAT&#10;AAAAAAAAAAAAAAAAAAAAAABbQ29udGVudF9UeXBlc10ueG1sUEsBAi0AFAAGAAgAAAAhADj9If/W&#10;AAAAlAEAAAsAAAAAAAAAAAAAAAAALwEAAF9yZWxzLy5yZWxzUEsBAi0AFAAGAAgAAAAhAFYsAHAS&#10;AgAAXAQAAA4AAAAAAAAAAAAAAAAALgIAAGRycy9lMm9Eb2MueG1sUEsBAi0AFAAGAAgAAAAhAE1e&#10;/DTbAAAACgEAAA8AAAAAAAAAAAAAAAAAbAQAAGRycy9kb3ducmV2LnhtbFBLBQYAAAAABAAEAPMA&#10;AAB0BQAAAAA=&#10;" path="m,l5727699,e" filled="f" strokeweight="1pt">
                <v:path arrowok="t"/>
                <w10:wrap type="topAndBottom" anchorx="page"/>
              </v:shape>
            </w:pict>
          </mc:Fallback>
        </mc:AlternateContent>
      </w:r>
    </w:p>
    <w:p w14:paraId="7A063289" w14:textId="77777777" w:rsidR="00A84015" w:rsidRDefault="00000000">
      <w:pPr>
        <w:spacing w:before="19" w:after="18"/>
        <w:ind w:left="2823" w:right="1528"/>
        <w:jc w:val="center"/>
        <w:rPr>
          <w:b/>
        </w:rPr>
      </w:pPr>
      <w:r>
        <w:rPr>
          <w:b/>
        </w:rPr>
        <w:t>Socioeconomic</w:t>
      </w:r>
      <w:r>
        <w:rPr>
          <w:b/>
          <w:spacing w:val="-13"/>
        </w:rPr>
        <w:t xml:space="preserve"> </w:t>
      </w:r>
      <w:r>
        <w:rPr>
          <w:b/>
          <w:spacing w:val="-2"/>
        </w:rPr>
        <w:t>Status</w:t>
      </w:r>
    </w:p>
    <w:tbl>
      <w:tblPr>
        <w:tblW w:w="0" w:type="auto"/>
        <w:tblInd w:w="1306" w:type="dxa"/>
        <w:tblLayout w:type="fixed"/>
        <w:tblCellMar>
          <w:left w:w="0" w:type="dxa"/>
          <w:right w:w="0" w:type="dxa"/>
        </w:tblCellMar>
        <w:tblLook w:val="01E0" w:firstRow="1" w:lastRow="1" w:firstColumn="1" w:lastColumn="1" w:noHBand="0" w:noVBand="0"/>
      </w:tblPr>
      <w:tblGrid>
        <w:gridCol w:w="2854"/>
        <w:gridCol w:w="1643"/>
        <w:gridCol w:w="1556"/>
        <w:gridCol w:w="1407"/>
        <w:gridCol w:w="1560"/>
      </w:tblGrid>
      <w:tr w:rsidR="00A84015" w14:paraId="381B7749" w14:textId="77777777">
        <w:trPr>
          <w:trHeight w:val="260"/>
        </w:trPr>
        <w:tc>
          <w:tcPr>
            <w:tcW w:w="2854" w:type="dxa"/>
            <w:tcBorders>
              <w:top w:val="single" w:sz="8" w:space="0" w:color="000000"/>
              <w:bottom w:val="single" w:sz="8" w:space="0" w:color="000000"/>
            </w:tcBorders>
          </w:tcPr>
          <w:p w14:paraId="5ACDB8DD" w14:textId="77777777" w:rsidR="00A84015" w:rsidRDefault="00000000">
            <w:pPr>
              <w:pStyle w:val="TableParagraph"/>
              <w:spacing w:before="4" w:line="236" w:lineRule="exact"/>
              <w:ind w:left="75"/>
              <w:rPr>
                <w:b/>
              </w:rPr>
            </w:pPr>
            <w:r>
              <w:rPr>
                <w:b/>
              </w:rPr>
              <w:t>Store</w:t>
            </w:r>
            <w:r>
              <w:rPr>
                <w:b/>
                <w:spacing w:val="-9"/>
              </w:rPr>
              <w:t xml:space="preserve"> </w:t>
            </w:r>
            <w:r>
              <w:rPr>
                <w:b/>
                <w:spacing w:val="-2"/>
              </w:rPr>
              <w:t>type*</w:t>
            </w:r>
          </w:p>
        </w:tc>
        <w:tc>
          <w:tcPr>
            <w:tcW w:w="1643" w:type="dxa"/>
            <w:tcBorders>
              <w:top w:val="single" w:sz="8" w:space="0" w:color="000000"/>
              <w:bottom w:val="single" w:sz="8" w:space="0" w:color="000000"/>
            </w:tcBorders>
          </w:tcPr>
          <w:p w14:paraId="2139E34F" w14:textId="77777777" w:rsidR="00A84015" w:rsidRDefault="00000000">
            <w:pPr>
              <w:pStyle w:val="TableParagraph"/>
              <w:spacing w:before="4" w:line="236" w:lineRule="exact"/>
              <w:ind w:left="14"/>
              <w:jc w:val="center"/>
              <w:rPr>
                <w:b/>
              </w:rPr>
            </w:pPr>
            <w:r>
              <w:rPr>
                <w:b/>
                <w:spacing w:val="-5"/>
              </w:rPr>
              <w:t>Low</w:t>
            </w:r>
          </w:p>
        </w:tc>
        <w:tc>
          <w:tcPr>
            <w:tcW w:w="1556" w:type="dxa"/>
            <w:tcBorders>
              <w:top w:val="single" w:sz="8" w:space="0" w:color="000000"/>
              <w:bottom w:val="single" w:sz="8" w:space="0" w:color="000000"/>
            </w:tcBorders>
          </w:tcPr>
          <w:p w14:paraId="44D20C30" w14:textId="77777777" w:rsidR="00A84015" w:rsidRDefault="00000000">
            <w:pPr>
              <w:pStyle w:val="TableParagraph"/>
              <w:spacing w:before="4" w:line="236" w:lineRule="exact"/>
              <w:ind w:left="70"/>
              <w:jc w:val="center"/>
              <w:rPr>
                <w:b/>
              </w:rPr>
            </w:pPr>
            <w:r>
              <w:rPr>
                <w:b/>
                <w:spacing w:val="-2"/>
              </w:rPr>
              <w:t>Middle</w:t>
            </w:r>
          </w:p>
        </w:tc>
        <w:tc>
          <w:tcPr>
            <w:tcW w:w="1407" w:type="dxa"/>
            <w:tcBorders>
              <w:top w:val="single" w:sz="8" w:space="0" w:color="000000"/>
              <w:bottom w:val="single" w:sz="8" w:space="0" w:color="000000"/>
            </w:tcBorders>
          </w:tcPr>
          <w:p w14:paraId="492A7A02" w14:textId="77777777" w:rsidR="00A84015" w:rsidRDefault="00000000">
            <w:pPr>
              <w:pStyle w:val="TableParagraph"/>
              <w:spacing w:before="4" w:line="236" w:lineRule="exact"/>
              <w:ind w:left="77"/>
              <w:jc w:val="center"/>
              <w:rPr>
                <w:b/>
              </w:rPr>
            </w:pPr>
            <w:r>
              <w:rPr>
                <w:b/>
                <w:spacing w:val="-4"/>
              </w:rPr>
              <w:t>High</w:t>
            </w:r>
          </w:p>
        </w:tc>
        <w:tc>
          <w:tcPr>
            <w:tcW w:w="1560" w:type="dxa"/>
            <w:tcBorders>
              <w:top w:val="single" w:sz="8" w:space="0" w:color="000000"/>
              <w:bottom w:val="single" w:sz="8" w:space="0" w:color="000000"/>
            </w:tcBorders>
          </w:tcPr>
          <w:p w14:paraId="7D978021" w14:textId="77777777" w:rsidR="00A84015" w:rsidRDefault="00000000">
            <w:pPr>
              <w:pStyle w:val="TableParagraph"/>
              <w:spacing w:before="4" w:line="236" w:lineRule="exact"/>
              <w:ind w:left="422"/>
              <w:rPr>
                <w:b/>
              </w:rPr>
            </w:pPr>
            <w:r>
              <w:rPr>
                <w:b/>
                <w:spacing w:val="-2"/>
              </w:rPr>
              <w:t>TOTAL</w:t>
            </w:r>
          </w:p>
        </w:tc>
      </w:tr>
      <w:tr w:rsidR="00A84015" w14:paraId="4CA74C71" w14:textId="77777777">
        <w:trPr>
          <w:trHeight w:val="300"/>
        </w:trPr>
        <w:tc>
          <w:tcPr>
            <w:tcW w:w="2854" w:type="dxa"/>
            <w:tcBorders>
              <w:top w:val="single" w:sz="8" w:space="0" w:color="000000"/>
            </w:tcBorders>
            <w:shd w:val="clear" w:color="auto" w:fill="EFEFEF"/>
          </w:tcPr>
          <w:p w14:paraId="10BC0AC2" w14:textId="77777777" w:rsidR="00A84015" w:rsidRDefault="00000000">
            <w:pPr>
              <w:pStyle w:val="TableParagraph"/>
              <w:spacing w:before="24"/>
              <w:ind w:left="75"/>
              <w:rPr>
                <w:i/>
              </w:rPr>
            </w:pPr>
            <w:r>
              <w:rPr>
                <w:i/>
                <w:spacing w:val="-2"/>
              </w:rPr>
              <w:t>Cordoba</w:t>
            </w:r>
          </w:p>
        </w:tc>
        <w:tc>
          <w:tcPr>
            <w:tcW w:w="1643" w:type="dxa"/>
            <w:tcBorders>
              <w:top w:val="single" w:sz="8" w:space="0" w:color="000000"/>
            </w:tcBorders>
            <w:shd w:val="clear" w:color="auto" w:fill="EFEFEF"/>
          </w:tcPr>
          <w:p w14:paraId="18F562C9" w14:textId="77777777" w:rsidR="00A84015" w:rsidRDefault="00A84015">
            <w:pPr>
              <w:pStyle w:val="TableParagraph"/>
            </w:pPr>
          </w:p>
        </w:tc>
        <w:tc>
          <w:tcPr>
            <w:tcW w:w="1556" w:type="dxa"/>
            <w:tcBorders>
              <w:top w:val="single" w:sz="8" w:space="0" w:color="000000"/>
            </w:tcBorders>
            <w:shd w:val="clear" w:color="auto" w:fill="EFEFEF"/>
          </w:tcPr>
          <w:p w14:paraId="18DB763D" w14:textId="77777777" w:rsidR="00A84015" w:rsidRDefault="00A84015">
            <w:pPr>
              <w:pStyle w:val="TableParagraph"/>
            </w:pPr>
          </w:p>
        </w:tc>
        <w:tc>
          <w:tcPr>
            <w:tcW w:w="1407" w:type="dxa"/>
            <w:tcBorders>
              <w:top w:val="single" w:sz="8" w:space="0" w:color="000000"/>
            </w:tcBorders>
            <w:shd w:val="clear" w:color="auto" w:fill="EFEFEF"/>
          </w:tcPr>
          <w:p w14:paraId="3653C4FF" w14:textId="77777777" w:rsidR="00A84015" w:rsidRDefault="00A84015">
            <w:pPr>
              <w:pStyle w:val="TableParagraph"/>
            </w:pPr>
          </w:p>
        </w:tc>
        <w:tc>
          <w:tcPr>
            <w:tcW w:w="1560" w:type="dxa"/>
            <w:tcBorders>
              <w:top w:val="single" w:sz="8" w:space="0" w:color="000000"/>
            </w:tcBorders>
            <w:shd w:val="clear" w:color="auto" w:fill="EFEFEF"/>
          </w:tcPr>
          <w:p w14:paraId="46B94560" w14:textId="77777777" w:rsidR="00A84015" w:rsidRDefault="00000000">
            <w:pPr>
              <w:pStyle w:val="TableParagraph"/>
              <w:spacing w:before="24"/>
              <w:ind w:left="115"/>
            </w:pPr>
            <w:r>
              <w:t>129</w:t>
            </w:r>
            <w:r>
              <w:rPr>
                <w:spacing w:val="-5"/>
              </w:rPr>
              <w:t xml:space="preserve"> </w:t>
            </w:r>
            <w:r>
              <w:rPr>
                <w:spacing w:val="-2"/>
              </w:rPr>
              <w:t>(25.2%)</w:t>
            </w:r>
          </w:p>
        </w:tc>
      </w:tr>
      <w:tr w:rsidR="00A84015" w14:paraId="1F064C3C" w14:textId="77777777">
        <w:trPr>
          <w:trHeight w:val="304"/>
        </w:trPr>
        <w:tc>
          <w:tcPr>
            <w:tcW w:w="2854" w:type="dxa"/>
          </w:tcPr>
          <w:p w14:paraId="492C595A" w14:textId="77777777" w:rsidR="00A84015" w:rsidRDefault="00000000">
            <w:pPr>
              <w:pStyle w:val="TableParagraph"/>
              <w:spacing w:before="23"/>
              <w:ind w:left="675"/>
            </w:pPr>
            <w:r>
              <w:rPr>
                <w:spacing w:val="-2"/>
              </w:rPr>
              <w:t>Kiosk</w:t>
            </w:r>
          </w:p>
        </w:tc>
        <w:tc>
          <w:tcPr>
            <w:tcW w:w="1643" w:type="dxa"/>
          </w:tcPr>
          <w:p w14:paraId="456CA46B" w14:textId="77777777" w:rsidR="00A84015" w:rsidRDefault="00000000">
            <w:pPr>
              <w:pStyle w:val="TableParagraph"/>
              <w:spacing w:before="23"/>
              <w:ind w:left="14"/>
              <w:jc w:val="center"/>
            </w:pPr>
            <w:r>
              <w:rPr>
                <w:spacing w:val="-5"/>
              </w:rPr>
              <w:t>20</w:t>
            </w:r>
          </w:p>
        </w:tc>
        <w:tc>
          <w:tcPr>
            <w:tcW w:w="1556" w:type="dxa"/>
          </w:tcPr>
          <w:p w14:paraId="73EC64B9" w14:textId="77777777" w:rsidR="00A84015" w:rsidRDefault="00000000">
            <w:pPr>
              <w:pStyle w:val="TableParagraph"/>
              <w:spacing w:before="23"/>
              <w:ind w:left="70"/>
              <w:jc w:val="center"/>
            </w:pPr>
            <w:r>
              <w:rPr>
                <w:spacing w:val="-5"/>
              </w:rPr>
              <w:t>13</w:t>
            </w:r>
          </w:p>
        </w:tc>
        <w:tc>
          <w:tcPr>
            <w:tcW w:w="1407" w:type="dxa"/>
          </w:tcPr>
          <w:p w14:paraId="4EE114D4" w14:textId="77777777" w:rsidR="00A84015" w:rsidRDefault="00000000">
            <w:pPr>
              <w:pStyle w:val="TableParagraph"/>
              <w:spacing w:before="23"/>
              <w:ind w:left="77"/>
              <w:jc w:val="center"/>
            </w:pPr>
            <w:r>
              <w:rPr>
                <w:spacing w:val="-5"/>
              </w:rPr>
              <w:t>13</w:t>
            </w:r>
          </w:p>
        </w:tc>
        <w:tc>
          <w:tcPr>
            <w:tcW w:w="1560" w:type="dxa"/>
          </w:tcPr>
          <w:p w14:paraId="2BE8DA2A" w14:textId="77777777" w:rsidR="00A84015" w:rsidRDefault="00A84015">
            <w:pPr>
              <w:pStyle w:val="TableParagraph"/>
            </w:pPr>
          </w:p>
        </w:tc>
      </w:tr>
      <w:tr w:rsidR="00A84015" w14:paraId="4F77C308" w14:textId="77777777">
        <w:trPr>
          <w:trHeight w:val="300"/>
        </w:trPr>
        <w:tc>
          <w:tcPr>
            <w:tcW w:w="2854" w:type="dxa"/>
          </w:tcPr>
          <w:p w14:paraId="4FA75E81" w14:textId="77777777" w:rsidR="00A84015" w:rsidRDefault="00000000">
            <w:pPr>
              <w:pStyle w:val="TableParagraph"/>
              <w:spacing w:before="19"/>
              <w:ind w:right="277"/>
              <w:jc w:val="right"/>
            </w:pPr>
            <w:r>
              <w:t>Neighbourhood</w:t>
            </w:r>
            <w:r>
              <w:rPr>
                <w:spacing w:val="-13"/>
              </w:rPr>
              <w:t xml:space="preserve"> </w:t>
            </w:r>
            <w:r>
              <w:rPr>
                <w:spacing w:val="-2"/>
              </w:rPr>
              <w:t>Store</w:t>
            </w:r>
          </w:p>
        </w:tc>
        <w:tc>
          <w:tcPr>
            <w:tcW w:w="1643" w:type="dxa"/>
          </w:tcPr>
          <w:p w14:paraId="62E16A5B" w14:textId="77777777" w:rsidR="00A84015" w:rsidRDefault="00000000">
            <w:pPr>
              <w:pStyle w:val="TableParagraph"/>
              <w:spacing w:before="19"/>
              <w:ind w:left="14"/>
              <w:jc w:val="center"/>
            </w:pPr>
            <w:r>
              <w:rPr>
                <w:spacing w:val="-5"/>
              </w:rPr>
              <w:t>20</w:t>
            </w:r>
          </w:p>
        </w:tc>
        <w:tc>
          <w:tcPr>
            <w:tcW w:w="1556" w:type="dxa"/>
          </w:tcPr>
          <w:p w14:paraId="7CBA09AF" w14:textId="77777777" w:rsidR="00A84015" w:rsidRDefault="00000000">
            <w:pPr>
              <w:pStyle w:val="TableParagraph"/>
              <w:spacing w:before="19"/>
              <w:ind w:left="70"/>
              <w:jc w:val="center"/>
            </w:pPr>
            <w:r>
              <w:rPr>
                <w:spacing w:val="-5"/>
              </w:rPr>
              <w:t>27</w:t>
            </w:r>
          </w:p>
        </w:tc>
        <w:tc>
          <w:tcPr>
            <w:tcW w:w="1407" w:type="dxa"/>
          </w:tcPr>
          <w:p w14:paraId="08127C9B" w14:textId="77777777" w:rsidR="00A84015" w:rsidRDefault="00000000">
            <w:pPr>
              <w:pStyle w:val="TableParagraph"/>
              <w:spacing w:before="19"/>
              <w:ind w:left="77"/>
              <w:jc w:val="center"/>
            </w:pPr>
            <w:r>
              <w:rPr>
                <w:spacing w:val="-5"/>
              </w:rPr>
              <w:t>29</w:t>
            </w:r>
          </w:p>
        </w:tc>
        <w:tc>
          <w:tcPr>
            <w:tcW w:w="1560" w:type="dxa"/>
          </w:tcPr>
          <w:p w14:paraId="48430DDD" w14:textId="77777777" w:rsidR="00A84015" w:rsidRDefault="00A84015">
            <w:pPr>
              <w:pStyle w:val="TableParagraph"/>
            </w:pPr>
          </w:p>
        </w:tc>
      </w:tr>
      <w:tr w:rsidR="00A84015" w14:paraId="1C727908" w14:textId="77777777">
        <w:trPr>
          <w:trHeight w:val="295"/>
        </w:trPr>
        <w:tc>
          <w:tcPr>
            <w:tcW w:w="2854" w:type="dxa"/>
          </w:tcPr>
          <w:p w14:paraId="4081EB63" w14:textId="77777777" w:rsidR="00A84015" w:rsidRDefault="00000000">
            <w:pPr>
              <w:pStyle w:val="TableParagraph"/>
              <w:spacing w:before="19"/>
              <w:ind w:left="675"/>
            </w:pPr>
            <w:r>
              <w:t>Convenience</w:t>
            </w:r>
            <w:r>
              <w:rPr>
                <w:spacing w:val="-11"/>
              </w:rPr>
              <w:t xml:space="preserve"> </w:t>
            </w:r>
            <w:r>
              <w:rPr>
                <w:spacing w:val="-2"/>
              </w:rPr>
              <w:t>Store</w:t>
            </w:r>
          </w:p>
        </w:tc>
        <w:tc>
          <w:tcPr>
            <w:tcW w:w="1643" w:type="dxa"/>
          </w:tcPr>
          <w:p w14:paraId="53301ADE" w14:textId="77777777" w:rsidR="00A84015" w:rsidRDefault="00000000">
            <w:pPr>
              <w:pStyle w:val="TableParagraph"/>
              <w:spacing w:before="19"/>
              <w:ind w:left="14"/>
              <w:jc w:val="center"/>
            </w:pPr>
            <w:r>
              <w:rPr>
                <w:spacing w:val="-10"/>
              </w:rPr>
              <w:t>3</w:t>
            </w:r>
          </w:p>
        </w:tc>
        <w:tc>
          <w:tcPr>
            <w:tcW w:w="1556" w:type="dxa"/>
          </w:tcPr>
          <w:p w14:paraId="778391AF" w14:textId="77777777" w:rsidR="00A84015" w:rsidRDefault="00000000">
            <w:pPr>
              <w:pStyle w:val="TableParagraph"/>
              <w:spacing w:before="19"/>
              <w:ind w:left="70"/>
              <w:jc w:val="center"/>
            </w:pPr>
            <w:r>
              <w:rPr>
                <w:spacing w:val="-10"/>
              </w:rPr>
              <w:t>4</w:t>
            </w:r>
          </w:p>
        </w:tc>
        <w:tc>
          <w:tcPr>
            <w:tcW w:w="1407" w:type="dxa"/>
          </w:tcPr>
          <w:p w14:paraId="0D78DB04" w14:textId="77777777" w:rsidR="00A84015" w:rsidRDefault="00000000">
            <w:pPr>
              <w:pStyle w:val="TableParagraph"/>
              <w:spacing w:before="19"/>
              <w:ind w:left="77"/>
              <w:jc w:val="center"/>
            </w:pPr>
            <w:r>
              <w:rPr>
                <w:spacing w:val="-10"/>
              </w:rPr>
              <w:t>0</w:t>
            </w:r>
          </w:p>
        </w:tc>
        <w:tc>
          <w:tcPr>
            <w:tcW w:w="1560" w:type="dxa"/>
          </w:tcPr>
          <w:p w14:paraId="7076E66B" w14:textId="77777777" w:rsidR="00A84015" w:rsidRDefault="00A84015">
            <w:pPr>
              <w:pStyle w:val="TableParagraph"/>
            </w:pPr>
          </w:p>
        </w:tc>
      </w:tr>
      <w:tr w:rsidR="00A84015" w14:paraId="7A866161" w14:textId="77777777">
        <w:trPr>
          <w:trHeight w:val="300"/>
        </w:trPr>
        <w:tc>
          <w:tcPr>
            <w:tcW w:w="2854" w:type="dxa"/>
            <w:shd w:val="clear" w:color="auto" w:fill="EFEFEF"/>
          </w:tcPr>
          <w:p w14:paraId="6E99D995" w14:textId="77777777" w:rsidR="00A84015" w:rsidRDefault="00000000">
            <w:pPr>
              <w:pStyle w:val="TableParagraph"/>
              <w:spacing w:before="23"/>
              <w:ind w:left="75"/>
              <w:rPr>
                <w:i/>
              </w:rPr>
            </w:pPr>
            <w:r>
              <w:rPr>
                <w:i/>
                <w:spacing w:val="-2"/>
              </w:rPr>
              <w:t>Quilmes</w:t>
            </w:r>
          </w:p>
        </w:tc>
        <w:tc>
          <w:tcPr>
            <w:tcW w:w="1643" w:type="dxa"/>
            <w:shd w:val="clear" w:color="auto" w:fill="EFEFEF"/>
          </w:tcPr>
          <w:p w14:paraId="1F3D1361" w14:textId="77777777" w:rsidR="00A84015" w:rsidRDefault="00A84015">
            <w:pPr>
              <w:pStyle w:val="TableParagraph"/>
            </w:pPr>
          </w:p>
        </w:tc>
        <w:tc>
          <w:tcPr>
            <w:tcW w:w="1556" w:type="dxa"/>
            <w:shd w:val="clear" w:color="auto" w:fill="EFEFEF"/>
          </w:tcPr>
          <w:p w14:paraId="051D3999" w14:textId="77777777" w:rsidR="00A84015" w:rsidRDefault="00A84015">
            <w:pPr>
              <w:pStyle w:val="TableParagraph"/>
            </w:pPr>
          </w:p>
        </w:tc>
        <w:tc>
          <w:tcPr>
            <w:tcW w:w="1407" w:type="dxa"/>
            <w:shd w:val="clear" w:color="auto" w:fill="EFEFEF"/>
          </w:tcPr>
          <w:p w14:paraId="4D374F64" w14:textId="77777777" w:rsidR="00A84015" w:rsidRDefault="00A84015">
            <w:pPr>
              <w:pStyle w:val="TableParagraph"/>
            </w:pPr>
          </w:p>
        </w:tc>
        <w:tc>
          <w:tcPr>
            <w:tcW w:w="1560" w:type="dxa"/>
            <w:shd w:val="clear" w:color="auto" w:fill="EFEFEF"/>
          </w:tcPr>
          <w:p w14:paraId="5DED7AA1" w14:textId="77777777" w:rsidR="00A84015" w:rsidRDefault="00000000">
            <w:pPr>
              <w:pStyle w:val="TableParagraph"/>
              <w:spacing w:before="23"/>
              <w:ind w:left="115"/>
            </w:pPr>
            <w:r>
              <w:t>146</w:t>
            </w:r>
            <w:r>
              <w:rPr>
                <w:spacing w:val="-5"/>
              </w:rPr>
              <w:t xml:space="preserve"> </w:t>
            </w:r>
            <w:r>
              <w:rPr>
                <w:spacing w:val="-2"/>
              </w:rPr>
              <w:t>(28.5%)</w:t>
            </w:r>
          </w:p>
        </w:tc>
      </w:tr>
      <w:tr w:rsidR="00A84015" w14:paraId="79007F38" w14:textId="77777777">
        <w:trPr>
          <w:trHeight w:val="304"/>
        </w:trPr>
        <w:tc>
          <w:tcPr>
            <w:tcW w:w="2854" w:type="dxa"/>
          </w:tcPr>
          <w:p w14:paraId="1052BFDA" w14:textId="77777777" w:rsidR="00A84015" w:rsidRDefault="00000000">
            <w:pPr>
              <w:pStyle w:val="TableParagraph"/>
              <w:spacing w:before="23"/>
              <w:ind w:left="675"/>
            </w:pPr>
            <w:r>
              <w:rPr>
                <w:spacing w:val="-2"/>
              </w:rPr>
              <w:t>Kiosk</w:t>
            </w:r>
          </w:p>
        </w:tc>
        <w:tc>
          <w:tcPr>
            <w:tcW w:w="1643" w:type="dxa"/>
          </w:tcPr>
          <w:p w14:paraId="5196BA2D" w14:textId="77777777" w:rsidR="00A84015" w:rsidRDefault="00000000">
            <w:pPr>
              <w:pStyle w:val="TableParagraph"/>
              <w:spacing w:before="23"/>
              <w:ind w:left="14"/>
              <w:jc w:val="center"/>
            </w:pPr>
            <w:r>
              <w:rPr>
                <w:spacing w:val="-5"/>
              </w:rPr>
              <w:t>49</w:t>
            </w:r>
          </w:p>
        </w:tc>
        <w:tc>
          <w:tcPr>
            <w:tcW w:w="1556" w:type="dxa"/>
          </w:tcPr>
          <w:p w14:paraId="1E714217" w14:textId="77777777" w:rsidR="00A84015" w:rsidRDefault="00000000">
            <w:pPr>
              <w:pStyle w:val="TableParagraph"/>
              <w:spacing w:before="23"/>
              <w:ind w:left="70"/>
              <w:jc w:val="center"/>
            </w:pPr>
            <w:r>
              <w:rPr>
                <w:spacing w:val="-5"/>
              </w:rPr>
              <w:t>33</w:t>
            </w:r>
          </w:p>
        </w:tc>
        <w:tc>
          <w:tcPr>
            <w:tcW w:w="1407" w:type="dxa"/>
          </w:tcPr>
          <w:p w14:paraId="7A013BDA" w14:textId="77777777" w:rsidR="00A84015" w:rsidRDefault="00000000">
            <w:pPr>
              <w:pStyle w:val="TableParagraph"/>
              <w:spacing w:before="23"/>
              <w:ind w:left="77"/>
              <w:jc w:val="center"/>
            </w:pPr>
            <w:r>
              <w:rPr>
                <w:spacing w:val="-5"/>
              </w:rPr>
              <w:t>17</w:t>
            </w:r>
          </w:p>
        </w:tc>
        <w:tc>
          <w:tcPr>
            <w:tcW w:w="1560" w:type="dxa"/>
          </w:tcPr>
          <w:p w14:paraId="1C620FAF" w14:textId="77777777" w:rsidR="00A84015" w:rsidRDefault="00A84015">
            <w:pPr>
              <w:pStyle w:val="TableParagraph"/>
            </w:pPr>
          </w:p>
        </w:tc>
      </w:tr>
      <w:tr w:rsidR="00A84015" w14:paraId="1CA1E882" w14:textId="77777777">
        <w:trPr>
          <w:trHeight w:val="300"/>
        </w:trPr>
        <w:tc>
          <w:tcPr>
            <w:tcW w:w="2854" w:type="dxa"/>
          </w:tcPr>
          <w:p w14:paraId="231D6E99" w14:textId="77777777" w:rsidR="00A84015" w:rsidRDefault="00000000">
            <w:pPr>
              <w:pStyle w:val="TableParagraph"/>
              <w:spacing w:before="19"/>
              <w:ind w:right="277"/>
              <w:jc w:val="right"/>
            </w:pPr>
            <w:r>
              <w:t>Neighbourhood</w:t>
            </w:r>
            <w:r>
              <w:rPr>
                <w:spacing w:val="-13"/>
              </w:rPr>
              <w:t xml:space="preserve"> </w:t>
            </w:r>
            <w:r>
              <w:rPr>
                <w:spacing w:val="-2"/>
              </w:rPr>
              <w:t>Store</w:t>
            </w:r>
          </w:p>
        </w:tc>
        <w:tc>
          <w:tcPr>
            <w:tcW w:w="1643" w:type="dxa"/>
          </w:tcPr>
          <w:p w14:paraId="3B28A2BF" w14:textId="77777777" w:rsidR="00A84015" w:rsidRDefault="00000000">
            <w:pPr>
              <w:pStyle w:val="TableParagraph"/>
              <w:spacing w:before="19"/>
              <w:ind w:left="14"/>
              <w:jc w:val="center"/>
            </w:pPr>
            <w:r>
              <w:rPr>
                <w:spacing w:val="-5"/>
              </w:rPr>
              <w:t>10</w:t>
            </w:r>
          </w:p>
        </w:tc>
        <w:tc>
          <w:tcPr>
            <w:tcW w:w="1556" w:type="dxa"/>
          </w:tcPr>
          <w:p w14:paraId="20F857F3" w14:textId="77777777" w:rsidR="00A84015" w:rsidRDefault="00000000">
            <w:pPr>
              <w:pStyle w:val="TableParagraph"/>
              <w:spacing w:before="19"/>
              <w:ind w:left="70"/>
              <w:jc w:val="center"/>
            </w:pPr>
            <w:r>
              <w:rPr>
                <w:spacing w:val="-5"/>
              </w:rPr>
              <w:t>14</w:t>
            </w:r>
          </w:p>
        </w:tc>
        <w:tc>
          <w:tcPr>
            <w:tcW w:w="1407" w:type="dxa"/>
          </w:tcPr>
          <w:p w14:paraId="7252C198" w14:textId="77777777" w:rsidR="00A84015" w:rsidRDefault="00000000">
            <w:pPr>
              <w:pStyle w:val="TableParagraph"/>
              <w:spacing w:before="19"/>
              <w:ind w:left="77"/>
              <w:jc w:val="center"/>
            </w:pPr>
            <w:r>
              <w:rPr>
                <w:spacing w:val="-5"/>
              </w:rPr>
              <w:t>13</w:t>
            </w:r>
          </w:p>
        </w:tc>
        <w:tc>
          <w:tcPr>
            <w:tcW w:w="1560" w:type="dxa"/>
          </w:tcPr>
          <w:p w14:paraId="6BD9C686" w14:textId="77777777" w:rsidR="00A84015" w:rsidRDefault="00A84015">
            <w:pPr>
              <w:pStyle w:val="TableParagraph"/>
            </w:pPr>
          </w:p>
        </w:tc>
      </w:tr>
      <w:tr w:rsidR="00A84015" w14:paraId="3D44FCDB" w14:textId="77777777">
        <w:trPr>
          <w:trHeight w:val="295"/>
        </w:trPr>
        <w:tc>
          <w:tcPr>
            <w:tcW w:w="2854" w:type="dxa"/>
          </w:tcPr>
          <w:p w14:paraId="0A619760" w14:textId="77777777" w:rsidR="00A84015" w:rsidRDefault="00000000">
            <w:pPr>
              <w:pStyle w:val="TableParagraph"/>
              <w:spacing w:before="19"/>
              <w:ind w:left="675"/>
            </w:pPr>
            <w:r>
              <w:t>Convenience</w:t>
            </w:r>
            <w:r>
              <w:rPr>
                <w:spacing w:val="-11"/>
              </w:rPr>
              <w:t xml:space="preserve"> </w:t>
            </w:r>
            <w:r>
              <w:rPr>
                <w:spacing w:val="-2"/>
              </w:rPr>
              <w:t>Store</w:t>
            </w:r>
          </w:p>
        </w:tc>
        <w:tc>
          <w:tcPr>
            <w:tcW w:w="1643" w:type="dxa"/>
          </w:tcPr>
          <w:p w14:paraId="5CF8F0AD" w14:textId="77777777" w:rsidR="00A84015" w:rsidRDefault="00000000">
            <w:pPr>
              <w:pStyle w:val="TableParagraph"/>
              <w:spacing w:before="19"/>
              <w:ind w:left="14"/>
              <w:jc w:val="center"/>
            </w:pPr>
            <w:r>
              <w:rPr>
                <w:spacing w:val="-10"/>
              </w:rPr>
              <w:t>0</w:t>
            </w:r>
          </w:p>
        </w:tc>
        <w:tc>
          <w:tcPr>
            <w:tcW w:w="1556" w:type="dxa"/>
          </w:tcPr>
          <w:p w14:paraId="5535FC88" w14:textId="77777777" w:rsidR="00A84015" w:rsidRDefault="00000000">
            <w:pPr>
              <w:pStyle w:val="TableParagraph"/>
              <w:spacing w:before="19"/>
              <w:ind w:left="70"/>
              <w:jc w:val="center"/>
            </w:pPr>
            <w:r>
              <w:rPr>
                <w:spacing w:val="-10"/>
              </w:rPr>
              <w:t>2</w:t>
            </w:r>
          </w:p>
        </w:tc>
        <w:tc>
          <w:tcPr>
            <w:tcW w:w="1407" w:type="dxa"/>
          </w:tcPr>
          <w:p w14:paraId="1325C586" w14:textId="77777777" w:rsidR="00A84015" w:rsidRDefault="00000000">
            <w:pPr>
              <w:pStyle w:val="TableParagraph"/>
              <w:spacing w:before="19"/>
              <w:ind w:left="77"/>
              <w:jc w:val="center"/>
            </w:pPr>
            <w:r>
              <w:rPr>
                <w:spacing w:val="-10"/>
              </w:rPr>
              <w:t>8</w:t>
            </w:r>
          </w:p>
        </w:tc>
        <w:tc>
          <w:tcPr>
            <w:tcW w:w="1560" w:type="dxa"/>
          </w:tcPr>
          <w:p w14:paraId="2B177089" w14:textId="77777777" w:rsidR="00A84015" w:rsidRDefault="00A84015">
            <w:pPr>
              <w:pStyle w:val="TableParagraph"/>
            </w:pPr>
          </w:p>
        </w:tc>
      </w:tr>
      <w:tr w:rsidR="00A84015" w14:paraId="0E7895B3" w14:textId="77777777">
        <w:trPr>
          <w:trHeight w:val="300"/>
        </w:trPr>
        <w:tc>
          <w:tcPr>
            <w:tcW w:w="2854" w:type="dxa"/>
            <w:shd w:val="clear" w:color="auto" w:fill="EFEFEF"/>
          </w:tcPr>
          <w:p w14:paraId="1AA5232B" w14:textId="77777777" w:rsidR="00A84015" w:rsidRDefault="00000000">
            <w:pPr>
              <w:pStyle w:val="TableParagraph"/>
              <w:spacing w:before="23"/>
              <w:ind w:left="75"/>
              <w:rPr>
                <w:i/>
              </w:rPr>
            </w:pPr>
            <w:r>
              <w:rPr>
                <w:i/>
              </w:rPr>
              <w:t>San</w:t>
            </w:r>
            <w:r>
              <w:rPr>
                <w:i/>
                <w:spacing w:val="-5"/>
              </w:rPr>
              <w:t xml:space="preserve"> </w:t>
            </w:r>
            <w:r>
              <w:rPr>
                <w:i/>
              </w:rPr>
              <w:t>Salvador</w:t>
            </w:r>
            <w:r>
              <w:rPr>
                <w:i/>
                <w:spacing w:val="-4"/>
              </w:rPr>
              <w:t xml:space="preserve"> </w:t>
            </w:r>
            <w:r>
              <w:rPr>
                <w:i/>
              </w:rPr>
              <w:t>de</w:t>
            </w:r>
            <w:r>
              <w:rPr>
                <w:i/>
                <w:spacing w:val="-4"/>
              </w:rPr>
              <w:t xml:space="preserve"> </w:t>
            </w:r>
            <w:r>
              <w:rPr>
                <w:i/>
                <w:spacing w:val="-2"/>
              </w:rPr>
              <w:t>Jujuy</w:t>
            </w:r>
          </w:p>
        </w:tc>
        <w:tc>
          <w:tcPr>
            <w:tcW w:w="1643" w:type="dxa"/>
            <w:shd w:val="clear" w:color="auto" w:fill="EFEFEF"/>
          </w:tcPr>
          <w:p w14:paraId="4C42F8A5" w14:textId="77777777" w:rsidR="00A84015" w:rsidRDefault="00A84015">
            <w:pPr>
              <w:pStyle w:val="TableParagraph"/>
            </w:pPr>
          </w:p>
        </w:tc>
        <w:tc>
          <w:tcPr>
            <w:tcW w:w="1556" w:type="dxa"/>
            <w:shd w:val="clear" w:color="auto" w:fill="EFEFEF"/>
          </w:tcPr>
          <w:p w14:paraId="4049AB7B" w14:textId="77777777" w:rsidR="00A84015" w:rsidRDefault="00A84015">
            <w:pPr>
              <w:pStyle w:val="TableParagraph"/>
            </w:pPr>
          </w:p>
        </w:tc>
        <w:tc>
          <w:tcPr>
            <w:tcW w:w="1407" w:type="dxa"/>
            <w:shd w:val="clear" w:color="auto" w:fill="EFEFEF"/>
          </w:tcPr>
          <w:p w14:paraId="654469D8" w14:textId="77777777" w:rsidR="00A84015" w:rsidRDefault="00A84015">
            <w:pPr>
              <w:pStyle w:val="TableParagraph"/>
            </w:pPr>
          </w:p>
        </w:tc>
        <w:tc>
          <w:tcPr>
            <w:tcW w:w="1560" w:type="dxa"/>
            <w:shd w:val="clear" w:color="auto" w:fill="EFEFEF"/>
          </w:tcPr>
          <w:p w14:paraId="0C9D6D59" w14:textId="77777777" w:rsidR="00A84015" w:rsidRDefault="00000000">
            <w:pPr>
              <w:pStyle w:val="TableParagraph"/>
              <w:spacing w:before="23"/>
              <w:ind w:left="115"/>
            </w:pPr>
            <w:r>
              <w:t>132</w:t>
            </w:r>
            <w:r>
              <w:rPr>
                <w:spacing w:val="-5"/>
              </w:rPr>
              <w:t xml:space="preserve"> </w:t>
            </w:r>
            <w:r>
              <w:rPr>
                <w:spacing w:val="-2"/>
              </w:rPr>
              <w:t>(25.8%)</w:t>
            </w:r>
          </w:p>
        </w:tc>
      </w:tr>
      <w:tr w:rsidR="00A84015" w14:paraId="003ECEF0" w14:textId="77777777">
        <w:trPr>
          <w:trHeight w:val="304"/>
        </w:trPr>
        <w:tc>
          <w:tcPr>
            <w:tcW w:w="2854" w:type="dxa"/>
          </w:tcPr>
          <w:p w14:paraId="4313A781" w14:textId="77777777" w:rsidR="00A84015" w:rsidRDefault="00000000">
            <w:pPr>
              <w:pStyle w:val="TableParagraph"/>
              <w:spacing w:before="23"/>
              <w:ind w:left="675"/>
            </w:pPr>
            <w:r>
              <w:rPr>
                <w:spacing w:val="-2"/>
              </w:rPr>
              <w:t>Kiosk</w:t>
            </w:r>
          </w:p>
        </w:tc>
        <w:tc>
          <w:tcPr>
            <w:tcW w:w="1643" w:type="dxa"/>
          </w:tcPr>
          <w:p w14:paraId="640DD189" w14:textId="77777777" w:rsidR="00A84015" w:rsidRDefault="00000000">
            <w:pPr>
              <w:pStyle w:val="TableParagraph"/>
              <w:spacing w:before="23"/>
              <w:ind w:left="14"/>
              <w:jc w:val="center"/>
            </w:pPr>
            <w:r>
              <w:rPr>
                <w:spacing w:val="-5"/>
              </w:rPr>
              <w:t>11</w:t>
            </w:r>
          </w:p>
        </w:tc>
        <w:tc>
          <w:tcPr>
            <w:tcW w:w="1556" w:type="dxa"/>
          </w:tcPr>
          <w:p w14:paraId="012C4E2A" w14:textId="77777777" w:rsidR="00A84015" w:rsidRDefault="00000000">
            <w:pPr>
              <w:pStyle w:val="TableParagraph"/>
              <w:spacing w:before="23"/>
              <w:ind w:left="70"/>
              <w:jc w:val="center"/>
            </w:pPr>
            <w:r>
              <w:rPr>
                <w:spacing w:val="-10"/>
              </w:rPr>
              <w:t>5</w:t>
            </w:r>
          </w:p>
        </w:tc>
        <w:tc>
          <w:tcPr>
            <w:tcW w:w="1407" w:type="dxa"/>
          </w:tcPr>
          <w:p w14:paraId="1BBF491F" w14:textId="77777777" w:rsidR="00A84015" w:rsidRDefault="00000000">
            <w:pPr>
              <w:pStyle w:val="TableParagraph"/>
              <w:spacing w:before="23"/>
              <w:ind w:left="77"/>
              <w:jc w:val="center"/>
            </w:pPr>
            <w:r>
              <w:rPr>
                <w:spacing w:val="-10"/>
              </w:rPr>
              <w:t>1</w:t>
            </w:r>
          </w:p>
        </w:tc>
        <w:tc>
          <w:tcPr>
            <w:tcW w:w="1560" w:type="dxa"/>
          </w:tcPr>
          <w:p w14:paraId="1464F605" w14:textId="77777777" w:rsidR="00A84015" w:rsidRDefault="00A84015">
            <w:pPr>
              <w:pStyle w:val="TableParagraph"/>
            </w:pPr>
          </w:p>
        </w:tc>
      </w:tr>
      <w:tr w:rsidR="00A84015" w14:paraId="3EEB9EDF" w14:textId="77777777">
        <w:trPr>
          <w:trHeight w:val="300"/>
        </w:trPr>
        <w:tc>
          <w:tcPr>
            <w:tcW w:w="2854" w:type="dxa"/>
          </w:tcPr>
          <w:p w14:paraId="04956FFF" w14:textId="77777777" w:rsidR="00A84015" w:rsidRDefault="00000000">
            <w:pPr>
              <w:pStyle w:val="TableParagraph"/>
              <w:spacing w:before="19"/>
              <w:ind w:right="277"/>
              <w:jc w:val="right"/>
            </w:pPr>
            <w:r>
              <w:t>Neighbourhood</w:t>
            </w:r>
            <w:r>
              <w:rPr>
                <w:spacing w:val="-13"/>
              </w:rPr>
              <w:t xml:space="preserve"> </w:t>
            </w:r>
            <w:r>
              <w:rPr>
                <w:spacing w:val="-2"/>
              </w:rPr>
              <w:t>Store</w:t>
            </w:r>
          </w:p>
        </w:tc>
        <w:tc>
          <w:tcPr>
            <w:tcW w:w="1643" w:type="dxa"/>
          </w:tcPr>
          <w:p w14:paraId="73F63834" w14:textId="77777777" w:rsidR="00A84015" w:rsidRDefault="00000000">
            <w:pPr>
              <w:pStyle w:val="TableParagraph"/>
              <w:spacing w:before="19"/>
              <w:ind w:left="14"/>
              <w:jc w:val="center"/>
            </w:pPr>
            <w:r>
              <w:rPr>
                <w:spacing w:val="-5"/>
              </w:rPr>
              <w:t>34</w:t>
            </w:r>
          </w:p>
        </w:tc>
        <w:tc>
          <w:tcPr>
            <w:tcW w:w="1556" w:type="dxa"/>
          </w:tcPr>
          <w:p w14:paraId="47D71A0D" w14:textId="77777777" w:rsidR="00A84015" w:rsidRDefault="00000000">
            <w:pPr>
              <w:pStyle w:val="TableParagraph"/>
              <w:spacing w:before="19"/>
              <w:ind w:left="70"/>
              <w:jc w:val="center"/>
            </w:pPr>
            <w:r>
              <w:rPr>
                <w:spacing w:val="-5"/>
              </w:rPr>
              <w:t>39</w:t>
            </w:r>
          </w:p>
        </w:tc>
        <w:tc>
          <w:tcPr>
            <w:tcW w:w="1407" w:type="dxa"/>
          </w:tcPr>
          <w:p w14:paraId="220F3712" w14:textId="77777777" w:rsidR="00A84015" w:rsidRDefault="00000000">
            <w:pPr>
              <w:pStyle w:val="TableParagraph"/>
              <w:spacing w:before="19"/>
              <w:ind w:left="77"/>
              <w:jc w:val="center"/>
            </w:pPr>
            <w:r>
              <w:rPr>
                <w:spacing w:val="-5"/>
              </w:rPr>
              <w:t>39</w:t>
            </w:r>
          </w:p>
        </w:tc>
        <w:tc>
          <w:tcPr>
            <w:tcW w:w="1560" w:type="dxa"/>
          </w:tcPr>
          <w:p w14:paraId="3CC078EB" w14:textId="77777777" w:rsidR="00A84015" w:rsidRDefault="00A84015">
            <w:pPr>
              <w:pStyle w:val="TableParagraph"/>
            </w:pPr>
          </w:p>
        </w:tc>
      </w:tr>
      <w:tr w:rsidR="00A84015" w14:paraId="657D2968" w14:textId="77777777">
        <w:trPr>
          <w:trHeight w:val="295"/>
        </w:trPr>
        <w:tc>
          <w:tcPr>
            <w:tcW w:w="2854" w:type="dxa"/>
          </w:tcPr>
          <w:p w14:paraId="703AA022" w14:textId="77777777" w:rsidR="00A84015" w:rsidRDefault="00000000">
            <w:pPr>
              <w:pStyle w:val="TableParagraph"/>
              <w:spacing w:before="19"/>
              <w:ind w:left="675"/>
            </w:pPr>
            <w:r>
              <w:t>Convenience</w:t>
            </w:r>
            <w:r>
              <w:rPr>
                <w:spacing w:val="-11"/>
              </w:rPr>
              <w:t xml:space="preserve"> </w:t>
            </w:r>
            <w:r>
              <w:rPr>
                <w:spacing w:val="-2"/>
              </w:rPr>
              <w:t>Store</w:t>
            </w:r>
          </w:p>
        </w:tc>
        <w:tc>
          <w:tcPr>
            <w:tcW w:w="1643" w:type="dxa"/>
          </w:tcPr>
          <w:p w14:paraId="141E315D" w14:textId="77777777" w:rsidR="00A84015" w:rsidRDefault="00000000">
            <w:pPr>
              <w:pStyle w:val="TableParagraph"/>
              <w:spacing w:before="19"/>
              <w:ind w:left="14"/>
              <w:jc w:val="center"/>
            </w:pPr>
            <w:r>
              <w:rPr>
                <w:spacing w:val="-10"/>
              </w:rPr>
              <w:t>0</w:t>
            </w:r>
          </w:p>
        </w:tc>
        <w:tc>
          <w:tcPr>
            <w:tcW w:w="1556" w:type="dxa"/>
          </w:tcPr>
          <w:p w14:paraId="65587DBF" w14:textId="77777777" w:rsidR="00A84015" w:rsidRDefault="00000000">
            <w:pPr>
              <w:pStyle w:val="TableParagraph"/>
              <w:spacing w:before="19"/>
              <w:ind w:left="70"/>
              <w:jc w:val="center"/>
            </w:pPr>
            <w:r>
              <w:rPr>
                <w:spacing w:val="-10"/>
              </w:rPr>
              <w:t>2</w:t>
            </w:r>
          </w:p>
        </w:tc>
        <w:tc>
          <w:tcPr>
            <w:tcW w:w="1407" w:type="dxa"/>
          </w:tcPr>
          <w:p w14:paraId="0EDCF4BD" w14:textId="77777777" w:rsidR="00A84015" w:rsidRDefault="00000000">
            <w:pPr>
              <w:pStyle w:val="TableParagraph"/>
              <w:spacing w:before="19"/>
              <w:ind w:left="77"/>
              <w:jc w:val="center"/>
            </w:pPr>
            <w:r>
              <w:rPr>
                <w:spacing w:val="-10"/>
              </w:rPr>
              <w:t>1</w:t>
            </w:r>
          </w:p>
        </w:tc>
        <w:tc>
          <w:tcPr>
            <w:tcW w:w="1560" w:type="dxa"/>
          </w:tcPr>
          <w:p w14:paraId="4DA59CCC" w14:textId="77777777" w:rsidR="00A84015" w:rsidRDefault="00A84015">
            <w:pPr>
              <w:pStyle w:val="TableParagraph"/>
            </w:pPr>
          </w:p>
        </w:tc>
      </w:tr>
      <w:tr w:rsidR="00A84015" w14:paraId="53A1B2F7" w14:textId="77777777">
        <w:trPr>
          <w:trHeight w:val="300"/>
        </w:trPr>
        <w:tc>
          <w:tcPr>
            <w:tcW w:w="2854" w:type="dxa"/>
            <w:shd w:val="clear" w:color="auto" w:fill="EFEFEF"/>
          </w:tcPr>
          <w:p w14:paraId="0DAA58D2" w14:textId="77777777" w:rsidR="00A84015" w:rsidRDefault="00000000">
            <w:pPr>
              <w:pStyle w:val="TableParagraph"/>
              <w:spacing w:before="23"/>
              <w:ind w:left="75"/>
              <w:rPr>
                <w:i/>
              </w:rPr>
            </w:pPr>
            <w:r>
              <w:rPr>
                <w:i/>
              </w:rPr>
              <w:t>Santa</w:t>
            </w:r>
            <w:r>
              <w:rPr>
                <w:i/>
                <w:spacing w:val="-7"/>
              </w:rPr>
              <w:t xml:space="preserve"> </w:t>
            </w:r>
            <w:r>
              <w:rPr>
                <w:i/>
                <w:spacing w:val="-4"/>
              </w:rPr>
              <w:t>Rosa</w:t>
            </w:r>
          </w:p>
        </w:tc>
        <w:tc>
          <w:tcPr>
            <w:tcW w:w="1643" w:type="dxa"/>
            <w:shd w:val="clear" w:color="auto" w:fill="EFEFEF"/>
          </w:tcPr>
          <w:p w14:paraId="5B1E2231" w14:textId="77777777" w:rsidR="00A84015" w:rsidRDefault="00A84015">
            <w:pPr>
              <w:pStyle w:val="TableParagraph"/>
            </w:pPr>
          </w:p>
        </w:tc>
        <w:tc>
          <w:tcPr>
            <w:tcW w:w="1556" w:type="dxa"/>
            <w:shd w:val="clear" w:color="auto" w:fill="EFEFEF"/>
          </w:tcPr>
          <w:p w14:paraId="2E128A98" w14:textId="77777777" w:rsidR="00A84015" w:rsidRDefault="00A84015">
            <w:pPr>
              <w:pStyle w:val="TableParagraph"/>
            </w:pPr>
          </w:p>
        </w:tc>
        <w:tc>
          <w:tcPr>
            <w:tcW w:w="1407" w:type="dxa"/>
            <w:shd w:val="clear" w:color="auto" w:fill="EFEFEF"/>
          </w:tcPr>
          <w:p w14:paraId="185BA610" w14:textId="77777777" w:rsidR="00A84015" w:rsidRDefault="00A84015">
            <w:pPr>
              <w:pStyle w:val="TableParagraph"/>
            </w:pPr>
          </w:p>
        </w:tc>
        <w:tc>
          <w:tcPr>
            <w:tcW w:w="1560" w:type="dxa"/>
            <w:shd w:val="clear" w:color="auto" w:fill="EFEFEF"/>
          </w:tcPr>
          <w:p w14:paraId="0EFE7A2C" w14:textId="77777777" w:rsidR="00A84015" w:rsidRDefault="00000000">
            <w:pPr>
              <w:pStyle w:val="TableParagraph"/>
              <w:spacing w:before="23"/>
              <w:ind w:left="115"/>
            </w:pPr>
            <w:r>
              <w:t>105</w:t>
            </w:r>
            <w:r>
              <w:rPr>
                <w:spacing w:val="-5"/>
              </w:rPr>
              <w:t xml:space="preserve"> </w:t>
            </w:r>
            <w:r>
              <w:rPr>
                <w:spacing w:val="-2"/>
              </w:rPr>
              <w:t>(20.5%)</w:t>
            </w:r>
          </w:p>
        </w:tc>
      </w:tr>
      <w:tr w:rsidR="00A84015" w14:paraId="791CB518" w14:textId="77777777">
        <w:trPr>
          <w:trHeight w:val="304"/>
        </w:trPr>
        <w:tc>
          <w:tcPr>
            <w:tcW w:w="2854" w:type="dxa"/>
          </w:tcPr>
          <w:p w14:paraId="7D5B846B" w14:textId="77777777" w:rsidR="00A84015" w:rsidRDefault="00000000">
            <w:pPr>
              <w:pStyle w:val="TableParagraph"/>
              <w:spacing w:before="23"/>
              <w:ind w:left="675"/>
            </w:pPr>
            <w:r>
              <w:rPr>
                <w:spacing w:val="-2"/>
              </w:rPr>
              <w:t>Kiosk</w:t>
            </w:r>
          </w:p>
        </w:tc>
        <w:tc>
          <w:tcPr>
            <w:tcW w:w="1643" w:type="dxa"/>
          </w:tcPr>
          <w:p w14:paraId="3AF40325" w14:textId="77777777" w:rsidR="00A84015" w:rsidRDefault="00000000">
            <w:pPr>
              <w:pStyle w:val="TableParagraph"/>
              <w:spacing w:before="23"/>
              <w:ind w:left="14"/>
              <w:jc w:val="center"/>
            </w:pPr>
            <w:r>
              <w:rPr>
                <w:spacing w:val="-10"/>
              </w:rPr>
              <w:t>2</w:t>
            </w:r>
          </w:p>
        </w:tc>
        <w:tc>
          <w:tcPr>
            <w:tcW w:w="1556" w:type="dxa"/>
          </w:tcPr>
          <w:p w14:paraId="3E296919" w14:textId="77777777" w:rsidR="00A84015" w:rsidRDefault="00000000">
            <w:pPr>
              <w:pStyle w:val="TableParagraph"/>
              <w:spacing w:before="23"/>
              <w:ind w:left="70"/>
              <w:jc w:val="center"/>
            </w:pPr>
            <w:r>
              <w:rPr>
                <w:spacing w:val="-10"/>
              </w:rPr>
              <w:t>1</w:t>
            </w:r>
          </w:p>
        </w:tc>
        <w:tc>
          <w:tcPr>
            <w:tcW w:w="1407" w:type="dxa"/>
          </w:tcPr>
          <w:p w14:paraId="55B1C8EF" w14:textId="77777777" w:rsidR="00A84015" w:rsidRDefault="00000000">
            <w:pPr>
              <w:pStyle w:val="TableParagraph"/>
              <w:spacing w:before="23"/>
              <w:ind w:left="77"/>
              <w:jc w:val="center"/>
            </w:pPr>
            <w:r>
              <w:rPr>
                <w:spacing w:val="-10"/>
              </w:rPr>
              <w:t>1</w:t>
            </w:r>
          </w:p>
        </w:tc>
        <w:tc>
          <w:tcPr>
            <w:tcW w:w="1560" w:type="dxa"/>
          </w:tcPr>
          <w:p w14:paraId="20766566" w14:textId="77777777" w:rsidR="00A84015" w:rsidRDefault="00A84015">
            <w:pPr>
              <w:pStyle w:val="TableParagraph"/>
            </w:pPr>
          </w:p>
        </w:tc>
      </w:tr>
      <w:tr w:rsidR="00A84015" w14:paraId="6A17217E" w14:textId="77777777">
        <w:trPr>
          <w:trHeight w:val="300"/>
        </w:trPr>
        <w:tc>
          <w:tcPr>
            <w:tcW w:w="2854" w:type="dxa"/>
          </w:tcPr>
          <w:p w14:paraId="5D5C5F04" w14:textId="77777777" w:rsidR="00A84015" w:rsidRDefault="00000000">
            <w:pPr>
              <w:pStyle w:val="TableParagraph"/>
              <w:spacing w:before="19"/>
              <w:ind w:right="277"/>
              <w:jc w:val="right"/>
            </w:pPr>
            <w:r>
              <w:t>Neighbourhood</w:t>
            </w:r>
            <w:r>
              <w:rPr>
                <w:spacing w:val="-13"/>
              </w:rPr>
              <w:t xml:space="preserve"> </w:t>
            </w:r>
            <w:r>
              <w:rPr>
                <w:spacing w:val="-2"/>
              </w:rPr>
              <w:t>Store</w:t>
            </w:r>
          </w:p>
        </w:tc>
        <w:tc>
          <w:tcPr>
            <w:tcW w:w="1643" w:type="dxa"/>
          </w:tcPr>
          <w:p w14:paraId="3BB5FBB0" w14:textId="77777777" w:rsidR="00A84015" w:rsidRDefault="00000000">
            <w:pPr>
              <w:pStyle w:val="TableParagraph"/>
              <w:spacing w:before="19"/>
              <w:ind w:left="14"/>
              <w:jc w:val="center"/>
            </w:pPr>
            <w:r>
              <w:rPr>
                <w:spacing w:val="-5"/>
              </w:rPr>
              <w:t>19</w:t>
            </w:r>
          </w:p>
        </w:tc>
        <w:tc>
          <w:tcPr>
            <w:tcW w:w="1556" w:type="dxa"/>
          </w:tcPr>
          <w:p w14:paraId="4F85639B" w14:textId="77777777" w:rsidR="00A84015" w:rsidRDefault="00000000">
            <w:pPr>
              <w:pStyle w:val="TableParagraph"/>
              <w:spacing w:before="19"/>
              <w:ind w:left="70"/>
              <w:jc w:val="center"/>
            </w:pPr>
            <w:r>
              <w:rPr>
                <w:spacing w:val="-5"/>
              </w:rPr>
              <w:t>43</w:t>
            </w:r>
          </w:p>
        </w:tc>
        <w:tc>
          <w:tcPr>
            <w:tcW w:w="1407" w:type="dxa"/>
          </w:tcPr>
          <w:p w14:paraId="4B4B14E3" w14:textId="77777777" w:rsidR="00A84015" w:rsidRDefault="00000000">
            <w:pPr>
              <w:pStyle w:val="TableParagraph"/>
              <w:spacing w:before="19"/>
              <w:ind w:left="77"/>
              <w:jc w:val="center"/>
            </w:pPr>
            <w:r>
              <w:rPr>
                <w:spacing w:val="-5"/>
              </w:rPr>
              <w:t>34</w:t>
            </w:r>
          </w:p>
        </w:tc>
        <w:tc>
          <w:tcPr>
            <w:tcW w:w="1560" w:type="dxa"/>
          </w:tcPr>
          <w:p w14:paraId="1A6D31AB" w14:textId="77777777" w:rsidR="00A84015" w:rsidRDefault="00A84015">
            <w:pPr>
              <w:pStyle w:val="TableParagraph"/>
            </w:pPr>
          </w:p>
        </w:tc>
      </w:tr>
      <w:tr w:rsidR="00A84015" w14:paraId="7307890A" w14:textId="77777777">
        <w:trPr>
          <w:trHeight w:val="295"/>
        </w:trPr>
        <w:tc>
          <w:tcPr>
            <w:tcW w:w="2854" w:type="dxa"/>
          </w:tcPr>
          <w:p w14:paraId="146CDDB4" w14:textId="77777777" w:rsidR="00A84015" w:rsidRDefault="00000000">
            <w:pPr>
              <w:pStyle w:val="TableParagraph"/>
              <w:spacing w:before="19"/>
              <w:ind w:left="675"/>
            </w:pPr>
            <w:r>
              <w:t>Convenience</w:t>
            </w:r>
            <w:r>
              <w:rPr>
                <w:spacing w:val="-11"/>
              </w:rPr>
              <w:t xml:space="preserve"> </w:t>
            </w:r>
            <w:r>
              <w:rPr>
                <w:spacing w:val="-2"/>
              </w:rPr>
              <w:t>Store</w:t>
            </w:r>
          </w:p>
        </w:tc>
        <w:tc>
          <w:tcPr>
            <w:tcW w:w="1643" w:type="dxa"/>
          </w:tcPr>
          <w:p w14:paraId="2F8210B1" w14:textId="77777777" w:rsidR="00A84015" w:rsidRDefault="00000000">
            <w:pPr>
              <w:pStyle w:val="TableParagraph"/>
              <w:spacing w:before="19"/>
              <w:ind w:left="14"/>
              <w:jc w:val="center"/>
            </w:pPr>
            <w:r>
              <w:rPr>
                <w:spacing w:val="-10"/>
              </w:rPr>
              <w:t>2</w:t>
            </w:r>
          </w:p>
        </w:tc>
        <w:tc>
          <w:tcPr>
            <w:tcW w:w="1556" w:type="dxa"/>
          </w:tcPr>
          <w:p w14:paraId="2BC72906" w14:textId="77777777" w:rsidR="00A84015" w:rsidRDefault="00000000">
            <w:pPr>
              <w:pStyle w:val="TableParagraph"/>
              <w:spacing w:before="19"/>
              <w:ind w:left="70"/>
              <w:jc w:val="center"/>
            </w:pPr>
            <w:r>
              <w:rPr>
                <w:spacing w:val="-10"/>
              </w:rPr>
              <w:t>1</w:t>
            </w:r>
          </w:p>
        </w:tc>
        <w:tc>
          <w:tcPr>
            <w:tcW w:w="1407" w:type="dxa"/>
          </w:tcPr>
          <w:p w14:paraId="127D930A" w14:textId="77777777" w:rsidR="00A84015" w:rsidRDefault="00000000">
            <w:pPr>
              <w:pStyle w:val="TableParagraph"/>
              <w:spacing w:before="19"/>
              <w:ind w:left="77"/>
              <w:jc w:val="center"/>
            </w:pPr>
            <w:r>
              <w:rPr>
                <w:spacing w:val="-10"/>
              </w:rPr>
              <w:t>2</w:t>
            </w:r>
          </w:p>
        </w:tc>
        <w:tc>
          <w:tcPr>
            <w:tcW w:w="1560" w:type="dxa"/>
          </w:tcPr>
          <w:p w14:paraId="767EA186" w14:textId="77777777" w:rsidR="00A84015" w:rsidRDefault="00A84015">
            <w:pPr>
              <w:pStyle w:val="TableParagraph"/>
            </w:pPr>
          </w:p>
        </w:tc>
      </w:tr>
      <w:tr w:rsidR="00A84015" w14:paraId="42696BCD" w14:textId="77777777">
        <w:trPr>
          <w:trHeight w:val="299"/>
        </w:trPr>
        <w:tc>
          <w:tcPr>
            <w:tcW w:w="2854" w:type="dxa"/>
            <w:tcBorders>
              <w:bottom w:val="single" w:sz="8" w:space="0" w:color="000000"/>
            </w:tcBorders>
            <w:shd w:val="clear" w:color="auto" w:fill="D9D9D9"/>
          </w:tcPr>
          <w:p w14:paraId="03212C1D" w14:textId="77777777" w:rsidR="00A84015" w:rsidRDefault="00000000">
            <w:pPr>
              <w:pStyle w:val="TableParagraph"/>
              <w:spacing w:before="23"/>
              <w:ind w:left="75"/>
              <w:rPr>
                <w:i/>
              </w:rPr>
            </w:pPr>
            <w:r>
              <w:rPr>
                <w:i/>
              </w:rPr>
              <w:t>Total</w:t>
            </w:r>
            <w:r>
              <w:rPr>
                <w:i/>
                <w:spacing w:val="-11"/>
              </w:rPr>
              <w:t xml:space="preserve"> </w:t>
            </w:r>
            <w:r>
              <w:rPr>
                <w:i/>
              </w:rPr>
              <w:t>Points</w:t>
            </w:r>
            <w:r>
              <w:rPr>
                <w:i/>
                <w:spacing w:val="-11"/>
              </w:rPr>
              <w:t xml:space="preserve"> </w:t>
            </w:r>
            <w:r>
              <w:rPr>
                <w:i/>
              </w:rPr>
              <w:t>of</w:t>
            </w:r>
            <w:r>
              <w:rPr>
                <w:i/>
                <w:spacing w:val="-11"/>
              </w:rPr>
              <w:t xml:space="preserve"> </w:t>
            </w:r>
            <w:r>
              <w:rPr>
                <w:i/>
                <w:spacing w:val="-4"/>
              </w:rPr>
              <w:t>Sale</w:t>
            </w:r>
          </w:p>
        </w:tc>
        <w:tc>
          <w:tcPr>
            <w:tcW w:w="1643" w:type="dxa"/>
            <w:tcBorders>
              <w:bottom w:val="single" w:sz="8" w:space="0" w:color="000000"/>
            </w:tcBorders>
            <w:shd w:val="clear" w:color="auto" w:fill="D9D9D9"/>
          </w:tcPr>
          <w:p w14:paraId="2AA6022B" w14:textId="77777777" w:rsidR="00A84015" w:rsidRDefault="00000000">
            <w:pPr>
              <w:pStyle w:val="TableParagraph"/>
              <w:spacing w:before="23"/>
              <w:ind w:left="14"/>
              <w:jc w:val="center"/>
            </w:pPr>
            <w:r>
              <w:t>170</w:t>
            </w:r>
            <w:r>
              <w:rPr>
                <w:spacing w:val="-5"/>
              </w:rPr>
              <w:t xml:space="preserve"> </w:t>
            </w:r>
            <w:r>
              <w:rPr>
                <w:spacing w:val="-2"/>
              </w:rPr>
              <w:t>(33.2%)</w:t>
            </w:r>
          </w:p>
        </w:tc>
        <w:tc>
          <w:tcPr>
            <w:tcW w:w="1556" w:type="dxa"/>
            <w:tcBorders>
              <w:bottom w:val="single" w:sz="8" w:space="0" w:color="000000"/>
            </w:tcBorders>
            <w:shd w:val="clear" w:color="auto" w:fill="D9D9D9"/>
          </w:tcPr>
          <w:p w14:paraId="3DADF6DA" w14:textId="77777777" w:rsidR="00A84015" w:rsidRDefault="00000000">
            <w:pPr>
              <w:pStyle w:val="TableParagraph"/>
              <w:spacing w:before="23"/>
              <w:ind w:left="70"/>
              <w:jc w:val="center"/>
            </w:pPr>
            <w:r>
              <w:t>184</w:t>
            </w:r>
            <w:r>
              <w:rPr>
                <w:spacing w:val="-5"/>
              </w:rPr>
              <w:t xml:space="preserve"> </w:t>
            </w:r>
            <w:r>
              <w:rPr>
                <w:spacing w:val="-2"/>
              </w:rPr>
              <w:t>(35.9%)</w:t>
            </w:r>
          </w:p>
        </w:tc>
        <w:tc>
          <w:tcPr>
            <w:tcW w:w="1407" w:type="dxa"/>
            <w:tcBorders>
              <w:bottom w:val="single" w:sz="8" w:space="0" w:color="000000"/>
            </w:tcBorders>
            <w:shd w:val="clear" w:color="auto" w:fill="D9D9D9"/>
          </w:tcPr>
          <w:p w14:paraId="55E3E1C2" w14:textId="77777777" w:rsidR="00A84015" w:rsidRDefault="00000000">
            <w:pPr>
              <w:pStyle w:val="TableParagraph"/>
              <w:spacing w:before="23"/>
              <w:ind w:left="77"/>
              <w:jc w:val="center"/>
            </w:pPr>
            <w:r>
              <w:t>158</w:t>
            </w:r>
            <w:r>
              <w:rPr>
                <w:spacing w:val="-5"/>
              </w:rPr>
              <w:t xml:space="preserve"> </w:t>
            </w:r>
            <w:r>
              <w:rPr>
                <w:spacing w:val="-2"/>
              </w:rPr>
              <w:t>(30.9%)</w:t>
            </w:r>
          </w:p>
        </w:tc>
        <w:tc>
          <w:tcPr>
            <w:tcW w:w="1560" w:type="dxa"/>
            <w:tcBorders>
              <w:bottom w:val="single" w:sz="8" w:space="0" w:color="000000"/>
            </w:tcBorders>
            <w:shd w:val="clear" w:color="auto" w:fill="D9D9D9"/>
          </w:tcPr>
          <w:p w14:paraId="2258C424" w14:textId="77777777" w:rsidR="00A84015" w:rsidRDefault="00000000">
            <w:pPr>
              <w:pStyle w:val="TableParagraph"/>
              <w:spacing w:before="23"/>
              <w:ind w:left="275"/>
            </w:pPr>
            <w:r>
              <w:t>512</w:t>
            </w:r>
            <w:r>
              <w:rPr>
                <w:spacing w:val="-3"/>
              </w:rPr>
              <w:t xml:space="preserve"> </w:t>
            </w:r>
            <w:r>
              <w:rPr>
                <w:spacing w:val="-2"/>
              </w:rPr>
              <w:t>(100%)</w:t>
            </w:r>
          </w:p>
        </w:tc>
      </w:tr>
    </w:tbl>
    <w:p w14:paraId="61595F54" w14:textId="77777777" w:rsidR="00A84015" w:rsidRDefault="00000000">
      <w:pPr>
        <w:ind w:left="1374" w:right="1086"/>
      </w:pPr>
      <w:r>
        <w:t>*15 Supermarkets were considered as</w:t>
      </w:r>
      <w:r>
        <w:rPr>
          <w:spacing w:val="-4"/>
        </w:rPr>
        <w:t xml:space="preserve"> </w:t>
      </w:r>
      <w:r>
        <w:t>Neighbourhood</w:t>
      </w:r>
      <w:r>
        <w:rPr>
          <w:spacing w:val="-4"/>
        </w:rPr>
        <w:t xml:space="preserve"> </w:t>
      </w:r>
      <w:r>
        <w:t>Stores</w:t>
      </w:r>
      <w:r>
        <w:rPr>
          <w:spacing w:val="-4"/>
        </w:rPr>
        <w:t xml:space="preserve"> </w:t>
      </w:r>
      <w:r>
        <w:t>and</w:t>
      </w:r>
      <w:r>
        <w:rPr>
          <w:spacing w:val="-4"/>
        </w:rPr>
        <w:t xml:space="preserve"> </w:t>
      </w:r>
      <w:r>
        <w:t>13</w:t>
      </w:r>
      <w:r>
        <w:rPr>
          <w:spacing w:val="-4"/>
        </w:rPr>
        <w:t xml:space="preserve"> </w:t>
      </w:r>
      <w:r>
        <w:t>Petrol</w:t>
      </w:r>
      <w:r>
        <w:rPr>
          <w:spacing w:val="-4"/>
        </w:rPr>
        <w:t xml:space="preserve"> </w:t>
      </w:r>
      <w:r>
        <w:t>Stations</w:t>
      </w:r>
      <w:r>
        <w:rPr>
          <w:spacing w:val="-4"/>
        </w:rPr>
        <w:t xml:space="preserve"> </w:t>
      </w:r>
      <w:r>
        <w:t>as</w:t>
      </w:r>
      <w:r>
        <w:rPr>
          <w:spacing w:val="-4"/>
        </w:rPr>
        <w:t xml:space="preserve"> </w:t>
      </w:r>
      <w:r>
        <w:t xml:space="preserve">Convenience </w:t>
      </w:r>
      <w:r>
        <w:rPr>
          <w:spacing w:val="-2"/>
        </w:rPr>
        <w:t>Stores.</w:t>
      </w:r>
    </w:p>
    <w:p w14:paraId="3CAAFAC6" w14:textId="77777777" w:rsidR="00A84015" w:rsidRDefault="00A84015">
      <w:pPr>
        <w:sectPr w:rsidR="00A84015">
          <w:pgSz w:w="11920" w:h="16840"/>
          <w:pgMar w:top="1380" w:right="141" w:bottom="280" w:left="141" w:header="720" w:footer="720" w:gutter="0"/>
          <w:cols w:space="720"/>
        </w:sectPr>
      </w:pPr>
    </w:p>
    <w:p w14:paraId="06634EEE" w14:textId="77777777" w:rsidR="00A84015" w:rsidRDefault="00000000">
      <w:pPr>
        <w:pStyle w:val="BodyText"/>
        <w:spacing w:before="60"/>
        <w:ind w:left="24"/>
      </w:pPr>
      <w:r>
        <w:rPr>
          <w:b/>
        </w:rPr>
        <w:t>Table</w:t>
      </w:r>
      <w:r>
        <w:rPr>
          <w:b/>
          <w:spacing w:val="-6"/>
        </w:rPr>
        <w:t xml:space="preserve"> </w:t>
      </w:r>
      <w:r>
        <w:rPr>
          <w:b/>
        </w:rPr>
        <w:t>2:</w:t>
      </w:r>
      <w:r>
        <w:rPr>
          <w:b/>
          <w:spacing w:val="-3"/>
        </w:rPr>
        <w:t xml:space="preserve"> </w:t>
      </w:r>
      <w:r>
        <w:t>Crude</w:t>
      </w:r>
      <w:r>
        <w:rPr>
          <w:spacing w:val="-4"/>
        </w:rPr>
        <w:t xml:space="preserve"> </w:t>
      </w:r>
      <w:r>
        <w:t>and</w:t>
      </w:r>
      <w:r>
        <w:rPr>
          <w:spacing w:val="-3"/>
        </w:rPr>
        <w:t xml:space="preserve"> </w:t>
      </w:r>
      <w:r>
        <w:t>adjusted</w:t>
      </w:r>
      <w:r>
        <w:rPr>
          <w:spacing w:val="-3"/>
        </w:rPr>
        <w:t xml:space="preserve"> </w:t>
      </w:r>
      <w:r>
        <w:t>OR</w:t>
      </w:r>
      <w:r>
        <w:rPr>
          <w:spacing w:val="-4"/>
        </w:rPr>
        <w:t xml:space="preserve"> </w:t>
      </w:r>
      <w:r>
        <w:t>for</w:t>
      </w:r>
      <w:r>
        <w:rPr>
          <w:spacing w:val="-3"/>
        </w:rPr>
        <w:t xml:space="preserve"> </w:t>
      </w:r>
      <w:r>
        <w:t>the</w:t>
      </w:r>
      <w:r>
        <w:rPr>
          <w:spacing w:val="-4"/>
        </w:rPr>
        <w:t xml:space="preserve"> </w:t>
      </w:r>
      <w:r>
        <w:t>display</w:t>
      </w:r>
      <w:r>
        <w:rPr>
          <w:spacing w:val="-3"/>
        </w:rPr>
        <w:t xml:space="preserve"> </w:t>
      </w:r>
      <w:r>
        <w:t>of</w:t>
      </w:r>
      <w:r>
        <w:rPr>
          <w:spacing w:val="-3"/>
        </w:rPr>
        <w:t xml:space="preserve"> </w:t>
      </w:r>
      <w:r>
        <w:t>RYO</w:t>
      </w:r>
      <w:r>
        <w:rPr>
          <w:spacing w:val="-4"/>
        </w:rPr>
        <w:t xml:space="preserve"> </w:t>
      </w:r>
      <w:r>
        <w:t>and</w:t>
      </w:r>
      <w:r>
        <w:rPr>
          <w:spacing w:val="-3"/>
        </w:rPr>
        <w:t xml:space="preserve"> </w:t>
      </w:r>
      <w:r>
        <w:t>RYO</w:t>
      </w:r>
      <w:r>
        <w:rPr>
          <w:spacing w:val="-4"/>
        </w:rPr>
        <w:t xml:space="preserve"> </w:t>
      </w:r>
      <w:r>
        <w:t>accessories</w:t>
      </w:r>
      <w:r>
        <w:rPr>
          <w:spacing w:val="-3"/>
        </w:rPr>
        <w:t xml:space="preserve"> </w:t>
      </w:r>
      <w:r>
        <w:t>in</w:t>
      </w:r>
      <w:r>
        <w:rPr>
          <w:spacing w:val="-3"/>
        </w:rPr>
        <w:t xml:space="preserve"> </w:t>
      </w:r>
      <w:r>
        <w:rPr>
          <w:spacing w:val="-2"/>
        </w:rPr>
        <w:t>Argentina</w:t>
      </w:r>
    </w:p>
    <w:p w14:paraId="2AD7C180" w14:textId="77777777" w:rsidR="00A84015" w:rsidRDefault="00A84015">
      <w:pPr>
        <w:pStyle w:val="BodyText"/>
        <w:spacing w:before="34"/>
        <w:ind w:left="0"/>
        <w:rPr>
          <w:sz w:val="20"/>
        </w:rPr>
      </w:pPr>
    </w:p>
    <w:tbl>
      <w:tblPr>
        <w:tblW w:w="0" w:type="auto"/>
        <w:tblInd w:w="46" w:type="dxa"/>
        <w:tblLayout w:type="fixed"/>
        <w:tblCellMar>
          <w:left w:w="0" w:type="dxa"/>
          <w:right w:w="0" w:type="dxa"/>
        </w:tblCellMar>
        <w:tblLook w:val="01E0" w:firstRow="1" w:lastRow="1" w:firstColumn="1" w:lastColumn="1" w:noHBand="0" w:noVBand="0"/>
      </w:tblPr>
      <w:tblGrid>
        <w:gridCol w:w="2510"/>
        <w:gridCol w:w="788"/>
        <w:gridCol w:w="1355"/>
        <w:gridCol w:w="1035"/>
        <w:gridCol w:w="1220"/>
        <w:gridCol w:w="1028"/>
        <w:gridCol w:w="1314"/>
        <w:gridCol w:w="1027"/>
        <w:gridCol w:w="1255"/>
      </w:tblGrid>
      <w:tr w:rsidR="00A84015" w14:paraId="14BBF3FE" w14:textId="77777777">
        <w:trPr>
          <w:trHeight w:val="279"/>
        </w:trPr>
        <w:tc>
          <w:tcPr>
            <w:tcW w:w="6908" w:type="dxa"/>
            <w:gridSpan w:val="5"/>
            <w:tcBorders>
              <w:top w:val="single" w:sz="8" w:space="0" w:color="000000"/>
              <w:bottom w:val="single" w:sz="8" w:space="0" w:color="000000"/>
              <w:right w:val="single" w:sz="8" w:space="0" w:color="000000"/>
            </w:tcBorders>
          </w:tcPr>
          <w:p w14:paraId="32271874" w14:textId="77777777" w:rsidR="00A84015" w:rsidRDefault="00000000">
            <w:pPr>
              <w:pStyle w:val="TableParagraph"/>
              <w:spacing w:before="23" w:line="237" w:lineRule="exact"/>
              <w:ind w:left="4477"/>
              <w:rPr>
                <w:b/>
              </w:rPr>
            </w:pPr>
            <w:r>
              <w:rPr>
                <w:b/>
                <w:spacing w:val="-5"/>
              </w:rPr>
              <w:t>RYO</w:t>
            </w:r>
          </w:p>
        </w:tc>
        <w:tc>
          <w:tcPr>
            <w:tcW w:w="4624" w:type="dxa"/>
            <w:gridSpan w:val="4"/>
            <w:tcBorders>
              <w:top w:val="single" w:sz="8" w:space="0" w:color="000000"/>
              <w:left w:val="single" w:sz="8" w:space="0" w:color="000000"/>
              <w:bottom w:val="single" w:sz="8" w:space="0" w:color="000000"/>
            </w:tcBorders>
          </w:tcPr>
          <w:p w14:paraId="20E1E286" w14:textId="77777777" w:rsidR="00A84015" w:rsidRDefault="00000000">
            <w:pPr>
              <w:pStyle w:val="TableParagraph"/>
              <w:spacing w:before="23" w:line="237" w:lineRule="exact"/>
              <w:ind w:left="1526"/>
              <w:rPr>
                <w:b/>
              </w:rPr>
            </w:pPr>
            <w:r>
              <w:rPr>
                <w:b/>
              </w:rPr>
              <w:t>RYO</w:t>
            </w:r>
            <w:r>
              <w:rPr>
                <w:b/>
                <w:spacing w:val="-10"/>
              </w:rPr>
              <w:t xml:space="preserve"> </w:t>
            </w:r>
            <w:r>
              <w:rPr>
                <w:b/>
                <w:spacing w:val="-2"/>
              </w:rPr>
              <w:t>accessories</w:t>
            </w:r>
          </w:p>
        </w:tc>
      </w:tr>
      <w:tr w:rsidR="00A84015" w14:paraId="06DBC4B5" w14:textId="77777777">
        <w:trPr>
          <w:trHeight w:val="499"/>
        </w:trPr>
        <w:tc>
          <w:tcPr>
            <w:tcW w:w="2510" w:type="dxa"/>
            <w:tcBorders>
              <w:top w:val="single" w:sz="8" w:space="0" w:color="000000"/>
              <w:bottom w:val="single" w:sz="8" w:space="0" w:color="000000"/>
            </w:tcBorders>
          </w:tcPr>
          <w:p w14:paraId="098C0B6D" w14:textId="77777777" w:rsidR="00A84015" w:rsidRDefault="00000000">
            <w:pPr>
              <w:pStyle w:val="TableParagraph"/>
              <w:spacing w:before="133"/>
              <w:ind w:left="75"/>
              <w:rPr>
                <w:b/>
              </w:rPr>
            </w:pPr>
            <w:r>
              <w:rPr>
                <w:b/>
                <w:spacing w:val="-2"/>
              </w:rPr>
              <w:t>Predictors</w:t>
            </w:r>
          </w:p>
        </w:tc>
        <w:tc>
          <w:tcPr>
            <w:tcW w:w="788" w:type="dxa"/>
            <w:tcBorders>
              <w:top w:val="single" w:sz="8" w:space="0" w:color="000000"/>
              <w:bottom w:val="single" w:sz="8" w:space="0" w:color="000000"/>
            </w:tcBorders>
          </w:tcPr>
          <w:p w14:paraId="5C9F1842" w14:textId="77777777" w:rsidR="00A84015" w:rsidRDefault="00000000">
            <w:pPr>
              <w:pStyle w:val="TableParagraph"/>
              <w:spacing w:line="250" w:lineRule="atLeast"/>
              <w:ind w:left="235" w:right="79" w:hanging="135"/>
              <w:rPr>
                <w:b/>
              </w:rPr>
            </w:pPr>
            <w:r>
              <w:rPr>
                <w:b/>
                <w:spacing w:val="-2"/>
              </w:rPr>
              <w:t xml:space="preserve">Crude </w:t>
            </w:r>
            <w:r>
              <w:rPr>
                <w:b/>
                <w:spacing w:val="-6"/>
              </w:rPr>
              <w:t>OR</w:t>
            </w:r>
          </w:p>
        </w:tc>
        <w:tc>
          <w:tcPr>
            <w:tcW w:w="1355" w:type="dxa"/>
            <w:tcBorders>
              <w:top w:val="single" w:sz="8" w:space="0" w:color="000000"/>
              <w:bottom w:val="single" w:sz="8" w:space="0" w:color="000000"/>
            </w:tcBorders>
          </w:tcPr>
          <w:p w14:paraId="5E7276A3" w14:textId="77777777" w:rsidR="00A84015" w:rsidRDefault="00000000">
            <w:pPr>
              <w:pStyle w:val="TableParagraph"/>
              <w:spacing w:before="133"/>
              <w:jc w:val="center"/>
              <w:rPr>
                <w:b/>
              </w:rPr>
            </w:pPr>
            <w:r>
              <w:rPr>
                <w:b/>
              </w:rPr>
              <w:t>CI</w:t>
            </w:r>
            <w:r>
              <w:rPr>
                <w:b/>
                <w:spacing w:val="-2"/>
              </w:rPr>
              <w:t xml:space="preserve"> (95%)</w:t>
            </w:r>
          </w:p>
        </w:tc>
        <w:tc>
          <w:tcPr>
            <w:tcW w:w="1035" w:type="dxa"/>
            <w:tcBorders>
              <w:top w:val="single" w:sz="8" w:space="0" w:color="000000"/>
              <w:bottom w:val="single" w:sz="8" w:space="0" w:color="000000"/>
            </w:tcBorders>
          </w:tcPr>
          <w:p w14:paraId="683E432C" w14:textId="77777777" w:rsidR="00A84015" w:rsidRDefault="00000000">
            <w:pPr>
              <w:pStyle w:val="TableParagraph"/>
              <w:spacing w:line="250" w:lineRule="atLeast"/>
              <w:ind w:left="302" w:right="81" w:hanging="208"/>
              <w:rPr>
                <w:b/>
              </w:rPr>
            </w:pPr>
            <w:r>
              <w:rPr>
                <w:b/>
                <w:spacing w:val="-2"/>
              </w:rPr>
              <w:t xml:space="preserve">Adjusted </w:t>
            </w:r>
            <w:r>
              <w:rPr>
                <w:b/>
                <w:spacing w:val="-4"/>
              </w:rPr>
              <w:t>OR*</w:t>
            </w:r>
          </w:p>
        </w:tc>
        <w:tc>
          <w:tcPr>
            <w:tcW w:w="1220" w:type="dxa"/>
            <w:tcBorders>
              <w:top w:val="single" w:sz="8" w:space="0" w:color="000000"/>
              <w:bottom w:val="single" w:sz="8" w:space="0" w:color="000000"/>
              <w:right w:val="single" w:sz="8" w:space="0" w:color="000000"/>
            </w:tcBorders>
          </w:tcPr>
          <w:p w14:paraId="37A3E7C5" w14:textId="77777777" w:rsidR="00A84015" w:rsidRDefault="00000000">
            <w:pPr>
              <w:pStyle w:val="TableParagraph"/>
              <w:spacing w:before="133"/>
              <w:ind w:left="29"/>
              <w:jc w:val="center"/>
              <w:rPr>
                <w:b/>
              </w:rPr>
            </w:pPr>
            <w:r>
              <w:rPr>
                <w:b/>
              </w:rPr>
              <w:t>CI</w:t>
            </w:r>
            <w:r>
              <w:rPr>
                <w:b/>
                <w:spacing w:val="-2"/>
              </w:rPr>
              <w:t xml:space="preserve"> (95%)</w:t>
            </w:r>
          </w:p>
        </w:tc>
        <w:tc>
          <w:tcPr>
            <w:tcW w:w="1028" w:type="dxa"/>
            <w:tcBorders>
              <w:top w:val="single" w:sz="8" w:space="0" w:color="000000"/>
              <w:left w:val="single" w:sz="8" w:space="0" w:color="000000"/>
              <w:bottom w:val="single" w:sz="8" w:space="0" w:color="000000"/>
            </w:tcBorders>
          </w:tcPr>
          <w:p w14:paraId="25FF42EA" w14:textId="77777777" w:rsidR="00A84015" w:rsidRDefault="00000000">
            <w:pPr>
              <w:pStyle w:val="TableParagraph"/>
              <w:spacing w:line="250" w:lineRule="atLeast"/>
              <w:ind w:left="387" w:right="157" w:hanging="135"/>
              <w:rPr>
                <w:b/>
              </w:rPr>
            </w:pPr>
            <w:r>
              <w:rPr>
                <w:b/>
                <w:spacing w:val="-2"/>
              </w:rPr>
              <w:t xml:space="preserve">Crude </w:t>
            </w:r>
            <w:r>
              <w:rPr>
                <w:b/>
                <w:spacing w:val="-6"/>
              </w:rPr>
              <w:t>OR</w:t>
            </w:r>
          </w:p>
        </w:tc>
        <w:tc>
          <w:tcPr>
            <w:tcW w:w="1314" w:type="dxa"/>
            <w:tcBorders>
              <w:top w:val="single" w:sz="8" w:space="0" w:color="000000"/>
              <w:bottom w:val="single" w:sz="8" w:space="0" w:color="000000"/>
            </w:tcBorders>
          </w:tcPr>
          <w:p w14:paraId="4CB6D663" w14:textId="77777777" w:rsidR="00A84015" w:rsidRDefault="00000000">
            <w:pPr>
              <w:pStyle w:val="TableParagraph"/>
              <w:spacing w:before="133"/>
              <w:ind w:left="94"/>
              <w:jc w:val="center"/>
              <w:rPr>
                <w:b/>
              </w:rPr>
            </w:pPr>
            <w:r>
              <w:rPr>
                <w:b/>
              </w:rPr>
              <w:t>CI</w:t>
            </w:r>
            <w:r>
              <w:rPr>
                <w:b/>
                <w:spacing w:val="-2"/>
              </w:rPr>
              <w:t xml:space="preserve"> (95%)</w:t>
            </w:r>
          </w:p>
        </w:tc>
        <w:tc>
          <w:tcPr>
            <w:tcW w:w="1027" w:type="dxa"/>
            <w:tcBorders>
              <w:top w:val="single" w:sz="8" w:space="0" w:color="000000"/>
              <w:bottom w:val="single" w:sz="8" w:space="0" w:color="000000"/>
            </w:tcBorders>
          </w:tcPr>
          <w:p w14:paraId="1D4B6377" w14:textId="77777777" w:rsidR="00A84015" w:rsidRDefault="00000000">
            <w:pPr>
              <w:pStyle w:val="TableParagraph"/>
              <w:spacing w:line="250" w:lineRule="atLeast"/>
              <w:ind w:left="240" w:right="80" w:hanging="153"/>
              <w:rPr>
                <w:b/>
              </w:rPr>
            </w:pPr>
            <w:r>
              <w:rPr>
                <w:b/>
                <w:spacing w:val="-2"/>
              </w:rPr>
              <w:t xml:space="preserve">Adjusted </w:t>
            </w:r>
            <w:r>
              <w:rPr>
                <w:b/>
                <w:spacing w:val="-4"/>
              </w:rPr>
              <w:t>OR**</w:t>
            </w:r>
          </w:p>
        </w:tc>
        <w:tc>
          <w:tcPr>
            <w:tcW w:w="1255" w:type="dxa"/>
            <w:tcBorders>
              <w:top w:val="single" w:sz="8" w:space="0" w:color="000000"/>
              <w:bottom w:val="single" w:sz="8" w:space="0" w:color="000000"/>
            </w:tcBorders>
          </w:tcPr>
          <w:p w14:paraId="70339B5A" w14:textId="77777777" w:rsidR="00A84015" w:rsidRDefault="00000000">
            <w:pPr>
              <w:pStyle w:val="TableParagraph"/>
              <w:spacing w:before="133"/>
              <w:ind w:left="1"/>
              <w:jc w:val="center"/>
              <w:rPr>
                <w:b/>
              </w:rPr>
            </w:pPr>
            <w:r>
              <w:rPr>
                <w:b/>
              </w:rPr>
              <w:t>CI</w:t>
            </w:r>
            <w:r>
              <w:rPr>
                <w:b/>
                <w:spacing w:val="-2"/>
              </w:rPr>
              <w:t xml:space="preserve"> (95%)</w:t>
            </w:r>
          </w:p>
        </w:tc>
      </w:tr>
      <w:tr w:rsidR="00A84015" w14:paraId="37FE3D85" w14:textId="77777777">
        <w:trPr>
          <w:trHeight w:val="305"/>
        </w:trPr>
        <w:tc>
          <w:tcPr>
            <w:tcW w:w="6908" w:type="dxa"/>
            <w:gridSpan w:val="5"/>
            <w:tcBorders>
              <w:top w:val="single" w:sz="8" w:space="0" w:color="000000"/>
              <w:right w:val="single" w:sz="8" w:space="0" w:color="000000"/>
            </w:tcBorders>
            <w:shd w:val="clear" w:color="auto" w:fill="EFEFEF"/>
          </w:tcPr>
          <w:p w14:paraId="381614B8" w14:textId="77777777" w:rsidR="00A84015" w:rsidRDefault="00000000">
            <w:pPr>
              <w:pStyle w:val="TableParagraph"/>
              <w:spacing w:before="25"/>
              <w:ind w:left="75"/>
              <w:rPr>
                <w:i/>
              </w:rPr>
            </w:pPr>
            <w:r>
              <w:rPr>
                <w:i/>
                <w:spacing w:val="-5"/>
              </w:rPr>
              <w:t>SES</w:t>
            </w:r>
          </w:p>
        </w:tc>
        <w:tc>
          <w:tcPr>
            <w:tcW w:w="4624" w:type="dxa"/>
            <w:gridSpan w:val="4"/>
            <w:tcBorders>
              <w:top w:val="single" w:sz="8" w:space="0" w:color="000000"/>
              <w:left w:val="single" w:sz="8" w:space="0" w:color="000000"/>
            </w:tcBorders>
            <w:shd w:val="clear" w:color="auto" w:fill="EFEFEF"/>
          </w:tcPr>
          <w:p w14:paraId="42259CD4" w14:textId="77777777" w:rsidR="00A84015" w:rsidRDefault="00A84015">
            <w:pPr>
              <w:pStyle w:val="TableParagraph"/>
            </w:pPr>
          </w:p>
        </w:tc>
      </w:tr>
      <w:tr w:rsidR="00A84015" w14:paraId="687B7CE0" w14:textId="77777777">
        <w:trPr>
          <w:trHeight w:val="334"/>
        </w:trPr>
        <w:tc>
          <w:tcPr>
            <w:tcW w:w="2510" w:type="dxa"/>
          </w:tcPr>
          <w:p w14:paraId="2F8ADC40" w14:textId="77777777" w:rsidR="00A84015" w:rsidRDefault="00000000">
            <w:pPr>
              <w:pStyle w:val="TableParagraph"/>
              <w:spacing w:before="42"/>
              <w:ind w:left="450"/>
            </w:pPr>
            <w:r>
              <w:rPr>
                <w:spacing w:val="-5"/>
              </w:rPr>
              <w:t>Low</w:t>
            </w:r>
          </w:p>
        </w:tc>
        <w:tc>
          <w:tcPr>
            <w:tcW w:w="788" w:type="dxa"/>
          </w:tcPr>
          <w:p w14:paraId="7D306148" w14:textId="77777777" w:rsidR="00A84015" w:rsidRDefault="00000000">
            <w:pPr>
              <w:pStyle w:val="TableParagraph"/>
              <w:spacing w:before="42"/>
              <w:ind w:left="12"/>
              <w:jc w:val="center"/>
            </w:pPr>
            <w:r>
              <w:rPr>
                <w:spacing w:val="-10"/>
              </w:rPr>
              <w:t>1</w:t>
            </w:r>
          </w:p>
        </w:tc>
        <w:tc>
          <w:tcPr>
            <w:tcW w:w="1355" w:type="dxa"/>
          </w:tcPr>
          <w:p w14:paraId="441105C9" w14:textId="77777777" w:rsidR="00A84015" w:rsidRDefault="00A84015">
            <w:pPr>
              <w:pStyle w:val="TableParagraph"/>
            </w:pPr>
          </w:p>
        </w:tc>
        <w:tc>
          <w:tcPr>
            <w:tcW w:w="1035" w:type="dxa"/>
          </w:tcPr>
          <w:p w14:paraId="5C17C8F5" w14:textId="77777777" w:rsidR="00A84015" w:rsidRDefault="00000000">
            <w:pPr>
              <w:pStyle w:val="TableParagraph"/>
              <w:spacing w:before="42"/>
              <w:ind w:left="9"/>
              <w:jc w:val="center"/>
            </w:pPr>
            <w:r>
              <w:rPr>
                <w:spacing w:val="-10"/>
              </w:rPr>
              <w:t>1</w:t>
            </w:r>
          </w:p>
        </w:tc>
        <w:tc>
          <w:tcPr>
            <w:tcW w:w="1220" w:type="dxa"/>
            <w:tcBorders>
              <w:right w:val="single" w:sz="8" w:space="0" w:color="000000"/>
            </w:tcBorders>
          </w:tcPr>
          <w:p w14:paraId="17855026" w14:textId="77777777" w:rsidR="00A84015" w:rsidRDefault="00A84015">
            <w:pPr>
              <w:pStyle w:val="TableParagraph"/>
            </w:pPr>
          </w:p>
        </w:tc>
        <w:tc>
          <w:tcPr>
            <w:tcW w:w="1028" w:type="dxa"/>
            <w:tcBorders>
              <w:left w:val="single" w:sz="8" w:space="0" w:color="000000"/>
            </w:tcBorders>
          </w:tcPr>
          <w:p w14:paraId="70607FEB" w14:textId="77777777" w:rsidR="00A84015" w:rsidRDefault="00000000">
            <w:pPr>
              <w:pStyle w:val="TableParagraph"/>
              <w:spacing w:before="42"/>
              <w:ind w:left="86"/>
              <w:jc w:val="center"/>
            </w:pPr>
            <w:r>
              <w:rPr>
                <w:spacing w:val="-10"/>
              </w:rPr>
              <w:t>1</w:t>
            </w:r>
          </w:p>
        </w:tc>
        <w:tc>
          <w:tcPr>
            <w:tcW w:w="1314" w:type="dxa"/>
          </w:tcPr>
          <w:p w14:paraId="41184A77" w14:textId="77777777" w:rsidR="00A84015" w:rsidRDefault="00A84015">
            <w:pPr>
              <w:pStyle w:val="TableParagraph"/>
            </w:pPr>
          </w:p>
        </w:tc>
        <w:tc>
          <w:tcPr>
            <w:tcW w:w="1027" w:type="dxa"/>
          </w:tcPr>
          <w:p w14:paraId="5BED86E1" w14:textId="77777777" w:rsidR="00A84015" w:rsidRDefault="00000000">
            <w:pPr>
              <w:pStyle w:val="TableParagraph"/>
              <w:spacing w:before="42"/>
              <w:ind w:left="3"/>
              <w:jc w:val="center"/>
            </w:pPr>
            <w:r>
              <w:rPr>
                <w:spacing w:val="-10"/>
              </w:rPr>
              <w:t>1</w:t>
            </w:r>
          </w:p>
        </w:tc>
        <w:tc>
          <w:tcPr>
            <w:tcW w:w="1255" w:type="dxa"/>
          </w:tcPr>
          <w:p w14:paraId="425C42CD" w14:textId="77777777" w:rsidR="00A84015" w:rsidRDefault="00A84015">
            <w:pPr>
              <w:pStyle w:val="TableParagraph"/>
            </w:pPr>
          </w:p>
        </w:tc>
      </w:tr>
      <w:tr w:rsidR="00A84015" w14:paraId="71AE2862" w14:textId="77777777">
        <w:trPr>
          <w:trHeight w:val="337"/>
        </w:trPr>
        <w:tc>
          <w:tcPr>
            <w:tcW w:w="2510" w:type="dxa"/>
          </w:tcPr>
          <w:p w14:paraId="64728560" w14:textId="77777777" w:rsidR="00A84015" w:rsidRDefault="00000000">
            <w:pPr>
              <w:pStyle w:val="TableParagraph"/>
              <w:spacing w:before="30"/>
              <w:ind w:left="450"/>
            </w:pPr>
            <w:r>
              <w:rPr>
                <w:spacing w:val="-2"/>
              </w:rPr>
              <w:t>Middle</w:t>
            </w:r>
          </w:p>
        </w:tc>
        <w:tc>
          <w:tcPr>
            <w:tcW w:w="788" w:type="dxa"/>
          </w:tcPr>
          <w:p w14:paraId="18739236" w14:textId="77777777" w:rsidR="00A84015" w:rsidRDefault="00000000">
            <w:pPr>
              <w:pStyle w:val="TableParagraph"/>
              <w:spacing w:before="30"/>
              <w:ind w:left="12"/>
              <w:jc w:val="center"/>
            </w:pPr>
            <w:r>
              <w:rPr>
                <w:spacing w:val="-4"/>
              </w:rPr>
              <w:t>5.05</w:t>
            </w:r>
          </w:p>
        </w:tc>
        <w:tc>
          <w:tcPr>
            <w:tcW w:w="1355" w:type="dxa"/>
          </w:tcPr>
          <w:p w14:paraId="24BCEF65" w14:textId="77777777" w:rsidR="00A84015" w:rsidRDefault="00000000">
            <w:pPr>
              <w:pStyle w:val="TableParagraph"/>
              <w:spacing w:before="30"/>
              <w:ind w:left="145"/>
            </w:pPr>
            <w:r>
              <w:t>2.67</w:t>
            </w:r>
            <w:r>
              <w:rPr>
                <w:spacing w:val="-3"/>
              </w:rPr>
              <w:t xml:space="preserve"> </w:t>
            </w:r>
            <w:r>
              <w:t>-</w:t>
            </w:r>
            <w:r>
              <w:rPr>
                <w:spacing w:val="-2"/>
              </w:rPr>
              <w:t xml:space="preserve"> 10.29</w:t>
            </w:r>
          </w:p>
        </w:tc>
        <w:tc>
          <w:tcPr>
            <w:tcW w:w="1035" w:type="dxa"/>
          </w:tcPr>
          <w:p w14:paraId="7F38BDFE" w14:textId="77777777" w:rsidR="00A84015" w:rsidRDefault="00000000">
            <w:pPr>
              <w:pStyle w:val="TableParagraph"/>
              <w:spacing w:before="30"/>
              <w:ind w:left="9"/>
              <w:jc w:val="center"/>
            </w:pPr>
            <w:r>
              <w:rPr>
                <w:spacing w:val="-4"/>
              </w:rPr>
              <w:t>4.47</w:t>
            </w:r>
          </w:p>
        </w:tc>
        <w:tc>
          <w:tcPr>
            <w:tcW w:w="1220" w:type="dxa"/>
            <w:tcBorders>
              <w:right w:val="single" w:sz="8" w:space="0" w:color="000000"/>
            </w:tcBorders>
          </w:tcPr>
          <w:p w14:paraId="3EDDC457" w14:textId="77777777" w:rsidR="00A84015" w:rsidRDefault="00000000">
            <w:pPr>
              <w:pStyle w:val="TableParagraph"/>
              <w:spacing w:before="30"/>
              <w:ind w:left="143"/>
            </w:pPr>
            <w:r>
              <w:t>2.25</w:t>
            </w:r>
            <w:r>
              <w:rPr>
                <w:spacing w:val="-5"/>
              </w:rPr>
              <w:t xml:space="preserve"> </w:t>
            </w:r>
            <w:r>
              <w:t>-</w:t>
            </w:r>
            <w:r>
              <w:rPr>
                <w:spacing w:val="-2"/>
              </w:rPr>
              <w:t xml:space="preserve"> </w:t>
            </w:r>
            <w:r>
              <w:rPr>
                <w:spacing w:val="-4"/>
              </w:rPr>
              <w:t>9.54</w:t>
            </w:r>
          </w:p>
        </w:tc>
        <w:tc>
          <w:tcPr>
            <w:tcW w:w="1028" w:type="dxa"/>
            <w:tcBorders>
              <w:left w:val="single" w:sz="8" w:space="0" w:color="000000"/>
            </w:tcBorders>
          </w:tcPr>
          <w:p w14:paraId="5CC21C3D" w14:textId="77777777" w:rsidR="00A84015" w:rsidRDefault="00000000">
            <w:pPr>
              <w:pStyle w:val="TableParagraph"/>
              <w:spacing w:before="30"/>
              <w:ind w:left="86"/>
              <w:jc w:val="center"/>
            </w:pPr>
            <w:r>
              <w:rPr>
                <w:spacing w:val="-4"/>
              </w:rPr>
              <w:t>3.66</w:t>
            </w:r>
          </w:p>
        </w:tc>
        <w:tc>
          <w:tcPr>
            <w:tcW w:w="1314" w:type="dxa"/>
          </w:tcPr>
          <w:p w14:paraId="1DC239D0" w14:textId="77777777" w:rsidR="00A84015" w:rsidRDefault="00000000">
            <w:pPr>
              <w:pStyle w:val="TableParagraph"/>
              <w:spacing w:before="30"/>
              <w:ind w:left="227"/>
            </w:pPr>
            <w:r>
              <w:t>2.10</w:t>
            </w:r>
            <w:r>
              <w:rPr>
                <w:spacing w:val="-5"/>
              </w:rPr>
              <w:t xml:space="preserve"> </w:t>
            </w:r>
            <w:r>
              <w:t>-</w:t>
            </w:r>
            <w:r>
              <w:rPr>
                <w:spacing w:val="-2"/>
              </w:rPr>
              <w:t xml:space="preserve"> </w:t>
            </w:r>
            <w:r>
              <w:rPr>
                <w:spacing w:val="-4"/>
              </w:rPr>
              <w:t>6.61</w:t>
            </w:r>
          </w:p>
        </w:tc>
        <w:tc>
          <w:tcPr>
            <w:tcW w:w="1027" w:type="dxa"/>
          </w:tcPr>
          <w:p w14:paraId="3F309862" w14:textId="77777777" w:rsidR="00A84015" w:rsidRDefault="00000000">
            <w:pPr>
              <w:pStyle w:val="TableParagraph"/>
              <w:spacing w:before="30"/>
              <w:ind w:left="3"/>
              <w:jc w:val="center"/>
            </w:pPr>
            <w:r>
              <w:rPr>
                <w:spacing w:val="-4"/>
              </w:rPr>
              <w:t>3.11</w:t>
            </w:r>
          </w:p>
        </w:tc>
        <w:tc>
          <w:tcPr>
            <w:tcW w:w="1255" w:type="dxa"/>
          </w:tcPr>
          <w:p w14:paraId="4652CDCE" w14:textId="77777777" w:rsidR="00A84015" w:rsidRDefault="00000000">
            <w:pPr>
              <w:pStyle w:val="TableParagraph"/>
              <w:spacing w:before="30"/>
              <w:ind w:left="151"/>
            </w:pPr>
            <w:r>
              <w:t>1.71</w:t>
            </w:r>
            <w:r>
              <w:rPr>
                <w:spacing w:val="-5"/>
              </w:rPr>
              <w:t xml:space="preserve"> </w:t>
            </w:r>
            <w:r>
              <w:t>-</w:t>
            </w:r>
            <w:r>
              <w:rPr>
                <w:spacing w:val="-2"/>
              </w:rPr>
              <w:t xml:space="preserve"> </w:t>
            </w:r>
            <w:r>
              <w:rPr>
                <w:spacing w:val="-4"/>
              </w:rPr>
              <w:t>5.86</w:t>
            </w:r>
          </w:p>
        </w:tc>
      </w:tr>
      <w:tr w:rsidR="00A84015" w14:paraId="33CF90A1" w14:textId="77777777">
        <w:trPr>
          <w:trHeight w:val="378"/>
        </w:trPr>
        <w:tc>
          <w:tcPr>
            <w:tcW w:w="2510" w:type="dxa"/>
          </w:tcPr>
          <w:p w14:paraId="41501B8E" w14:textId="77777777" w:rsidR="00A84015" w:rsidRDefault="00000000">
            <w:pPr>
              <w:pStyle w:val="TableParagraph"/>
              <w:spacing w:before="45"/>
              <w:ind w:left="450"/>
            </w:pPr>
            <w:r>
              <w:rPr>
                <w:spacing w:val="-4"/>
              </w:rPr>
              <w:t>High</w:t>
            </w:r>
          </w:p>
        </w:tc>
        <w:tc>
          <w:tcPr>
            <w:tcW w:w="788" w:type="dxa"/>
          </w:tcPr>
          <w:p w14:paraId="393DFC6A" w14:textId="77777777" w:rsidR="00A84015" w:rsidRDefault="00000000">
            <w:pPr>
              <w:pStyle w:val="TableParagraph"/>
              <w:spacing w:before="45"/>
              <w:ind w:left="12"/>
              <w:jc w:val="center"/>
            </w:pPr>
            <w:r>
              <w:rPr>
                <w:spacing w:val="-4"/>
              </w:rPr>
              <w:t>5.58</w:t>
            </w:r>
          </w:p>
        </w:tc>
        <w:tc>
          <w:tcPr>
            <w:tcW w:w="1355" w:type="dxa"/>
          </w:tcPr>
          <w:p w14:paraId="1A094294" w14:textId="77777777" w:rsidR="00A84015" w:rsidRDefault="00000000">
            <w:pPr>
              <w:pStyle w:val="TableParagraph"/>
              <w:spacing w:before="45"/>
              <w:ind w:left="149"/>
            </w:pPr>
            <w:r>
              <w:t>2.91</w:t>
            </w:r>
            <w:r>
              <w:rPr>
                <w:spacing w:val="-3"/>
              </w:rPr>
              <w:t xml:space="preserve"> </w:t>
            </w:r>
            <w:r>
              <w:t>-</w:t>
            </w:r>
            <w:r>
              <w:rPr>
                <w:spacing w:val="-2"/>
              </w:rPr>
              <w:t xml:space="preserve"> 11.45</w:t>
            </w:r>
          </w:p>
        </w:tc>
        <w:tc>
          <w:tcPr>
            <w:tcW w:w="1035" w:type="dxa"/>
          </w:tcPr>
          <w:p w14:paraId="704BF9F6" w14:textId="77777777" w:rsidR="00A84015" w:rsidRDefault="00000000">
            <w:pPr>
              <w:pStyle w:val="TableParagraph"/>
              <w:spacing w:before="45"/>
              <w:ind w:left="9"/>
              <w:jc w:val="center"/>
            </w:pPr>
            <w:r>
              <w:rPr>
                <w:spacing w:val="-4"/>
              </w:rPr>
              <w:t>4.28</w:t>
            </w:r>
          </w:p>
        </w:tc>
        <w:tc>
          <w:tcPr>
            <w:tcW w:w="1220" w:type="dxa"/>
            <w:tcBorders>
              <w:right w:val="single" w:sz="8" w:space="0" w:color="000000"/>
            </w:tcBorders>
          </w:tcPr>
          <w:p w14:paraId="2DC1362C" w14:textId="77777777" w:rsidR="00A84015" w:rsidRDefault="00000000">
            <w:pPr>
              <w:pStyle w:val="TableParagraph"/>
              <w:spacing w:before="45"/>
              <w:ind w:left="143"/>
            </w:pPr>
            <w:r>
              <w:t>2.14</w:t>
            </w:r>
            <w:r>
              <w:rPr>
                <w:spacing w:val="-5"/>
              </w:rPr>
              <w:t xml:space="preserve"> </w:t>
            </w:r>
            <w:r>
              <w:t>-</w:t>
            </w:r>
            <w:r>
              <w:rPr>
                <w:spacing w:val="-2"/>
              </w:rPr>
              <w:t xml:space="preserve"> </w:t>
            </w:r>
            <w:r>
              <w:rPr>
                <w:spacing w:val="-4"/>
              </w:rPr>
              <w:t>9.17</w:t>
            </w:r>
          </w:p>
        </w:tc>
        <w:tc>
          <w:tcPr>
            <w:tcW w:w="1028" w:type="dxa"/>
            <w:tcBorders>
              <w:left w:val="single" w:sz="8" w:space="0" w:color="000000"/>
            </w:tcBorders>
          </w:tcPr>
          <w:p w14:paraId="68480DB9" w14:textId="77777777" w:rsidR="00A84015" w:rsidRDefault="00000000">
            <w:pPr>
              <w:pStyle w:val="TableParagraph"/>
              <w:spacing w:before="45"/>
              <w:ind w:left="86"/>
              <w:jc w:val="center"/>
            </w:pPr>
            <w:r>
              <w:rPr>
                <w:spacing w:val="-4"/>
              </w:rPr>
              <w:t>3.90</w:t>
            </w:r>
          </w:p>
        </w:tc>
        <w:tc>
          <w:tcPr>
            <w:tcW w:w="1314" w:type="dxa"/>
          </w:tcPr>
          <w:p w14:paraId="2F4366F2" w14:textId="77777777" w:rsidR="00A84015" w:rsidRDefault="00000000">
            <w:pPr>
              <w:pStyle w:val="TableParagraph"/>
              <w:spacing w:before="45"/>
              <w:ind w:left="227"/>
            </w:pPr>
            <w:r>
              <w:t>2.21</w:t>
            </w:r>
            <w:r>
              <w:rPr>
                <w:spacing w:val="-5"/>
              </w:rPr>
              <w:t xml:space="preserve"> </w:t>
            </w:r>
            <w:r>
              <w:t>-</w:t>
            </w:r>
            <w:r>
              <w:rPr>
                <w:spacing w:val="-2"/>
              </w:rPr>
              <w:t xml:space="preserve"> </w:t>
            </w:r>
            <w:r>
              <w:rPr>
                <w:spacing w:val="-4"/>
              </w:rPr>
              <w:t>7.12</w:t>
            </w:r>
          </w:p>
        </w:tc>
        <w:tc>
          <w:tcPr>
            <w:tcW w:w="1027" w:type="dxa"/>
          </w:tcPr>
          <w:p w14:paraId="47D12B9A" w14:textId="77777777" w:rsidR="00A84015" w:rsidRDefault="00000000">
            <w:pPr>
              <w:pStyle w:val="TableParagraph"/>
              <w:spacing w:before="45"/>
              <w:ind w:left="3"/>
              <w:jc w:val="center"/>
            </w:pPr>
            <w:r>
              <w:rPr>
                <w:spacing w:val="-4"/>
              </w:rPr>
              <w:t>3.08</w:t>
            </w:r>
          </w:p>
        </w:tc>
        <w:tc>
          <w:tcPr>
            <w:tcW w:w="1255" w:type="dxa"/>
          </w:tcPr>
          <w:p w14:paraId="3E829D0B" w14:textId="77777777" w:rsidR="00A84015" w:rsidRDefault="00000000">
            <w:pPr>
              <w:pStyle w:val="TableParagraph"/>
              <w:spacing w:before="45"/>
              <w:ind w:left="151"/>
            </w:pPr>
            <w:r>
              <w:t>1.67</w:t>
            </w:r>
            <w:r>
              <w:rPr>
                <w:spacing w:val="-5"/>
              </w:rPr>
              <w:t xml:space="preserve"> </w:t>
            </w:r>
            <w:r>
              <w:t>-</w:t>
            </w:r>
            <w:r>
              <w:rPr>
                <w:spacing w:val="-2"/>
              </w:rPr>
              <w:t xml:space="preserve"> </w:t>
            </w:r>
            <w:r>
              <w:rPr>
                <w:spacing w:val="-4"/>
              </w:rPr>
              <w:t>5.84</w:t>
            </w:r>
          </w:p>
        </w:tc>
      </w:tr>
      <w:tr w:rsidR="00A84015" w14:paraId="2384ACDF" w14:textId="77777777">
        <w:trPr>
          <w:trHeight w:val="300"/>
        </w:trPr>
        <w:tc>
          <w:tcPr>
            <w:tcW w:w="6908" w:type="dxa"/>
            <w:gridSpan w:val="5"/>
            <w:tcBorders>
              <w:right w:val="single" w:sz="8" w:space="0" w:color="000000"/>
            </w:tcBorders>
            <w:shd w:val="clear" w:color="auto" w:fill="EFEFEF"/>
          </w:tcPr>
          <w:p w14:paraId="3CEC3DF7" w14:textId="77777777" w:rsidR="00A84015" w:rsidRDefault="00000000">
            <w:pPr>
              <w:pStyle w:val="TableParagraph"/>
              <w:spacing w:before="19"/>
              <w:ind w:left="75"/>
              <w:rPr>
                <w:i/>
              </w:rPr>
            </w:pPr>
            <w:r>
              <w:rPr>
                <w:i/>
              </w:rPr>
              <w:t>Type</w:t>
            </w:r>
            <w:r>
              <w:rPr>
                <w:i/>
                <w:spacing w:val="-8"/>
              </w:rPr>
              <w:t xml:space="preserve"> </w:t>
            </w:r>
            <w:r>
              <w:rPr>
                <w:i/>
              </w:rPr>
              <w:t>of</w:t>
            </w:r>
            <w:r>
              <w:rPr>
                <w:i/>
                <w:spacing w:val="-7"/>
              </w:rPr>
              <w:t xml:space="preserve"> </w:t>
            </w:r>
            <w:r>
              <w:rPr>
                <w:i/>
              </w:rPr>
              <w:t>Point</w:t>
            </w:r>
            <w:r>
              <w:rPr>
                <w:i/>
                <w:spacing w:val="-7"/>
              </w:rPr>
              <w:t xml:space="preserve"> </w:t>
            </w:r>
            <w:r>
              <w:rPr>
                <w:i/>
              </w:rPr>
              <w:t>of</w:t>
            </w:r>
            <w:r>
              <w:rPr>
                <w:i/>
                <w:spacing w:val="-7"/>
              </w:rPr>
              <w:t xml:space="preserve"> </w:t>
            </w:r>
            <w:r>
              <w:rPr>
                <w:i/>
                <w:spacing w:val="-4"/>
              </w:rPr>
              <w:t>Sale</w:t>
            </w:r>
          </w:p>
        </w:tc>
        <w:tc>
          <w:tcPr>
            <w:tcW w:w="4624" w:type="dxa"/>
            <w:gridSpan w:val="4"/>
            <w:tcBorders>
              <w:left w:val="single" w:sz="8" w:space="0" w:color="000000"/>
            </w:tcBorders>
            <w:shd w:val="clear" w:color="auto" w:fill="EFEFEF"/>
          </w:tcPr>
          <w:p w14:paraId="4E11FF87" w14:textId="77777777" w:rsidR="00A84015" w:rsidRDefault="00A84015">
            <w:pPr>
              <w:pStyle w:val="TableParagraph"/>
            </w:pPr>
          </w:p>
        </w:tc>
      </w:tr>
      <w:tr w:rsidR="00A84015" w14:paraId="4DE26CF6" w14:textId="77777777">
        <w:trPr>
          <w:trHeight w:val="367"/>
        </w:trPr>
        <w:tc>
          <w:tcPr>
            <w:tcW w:w="2510" w:type="dxa"/>
          </w:tcPr>
          <w:p w14:paraId="33E89DC9" w14:textId="77777777" w:rsidR="00A84015" w:rsidRDefault="00000000">
            <w:pPr>
              <w:pStyle w:val="TableParagraph"/>
              <w:spacing w:before="72"/>
              <w:ind w:left="450"/>
            </w:pPr>
            <w:r>
              <w:rPr>
                <w:spacing w:val="-2"/>
              </w:rPr>
              <w:t>Kiosk</w:t>
            </w:r>
          </w:p>
        </w:tc>
        <w:tc>
          <w:tcPr>
            <w:tcW w:w="788" w:type="dxa"/>
          </w:tcPr>
          <w:p w14:paraId="7DF9F963" w14:textId="77777777" w:rsidR="00A84015" w:rsidRDefault="00000000">
            <w:pPr>
              <w:pStyle w:val="TableParagraph"/>
              <w:spacing w:before="72"/>
              <w:ind w:left="12"/>
              <w:jc w:val="center"/>
            </w:pPr>
            <w:r>
              <w:rPr>
                <w:spacing w:val="-10"/>
              </w:rPr>
              <w:t>1</w:t>
            </w:r>
          </w:p>
        </w:tc>
        <w:tc>
          <w:tcPr>
            <w:tcW w:w="1355" w:type="dxa"/>
          </w:tcPr>
          <w:p w14:paraId="79E15534" w14:textId="77777777" w:rsidR="00A84015" w:rsidRDefault="00A84015">
            <w:pPr>
              <w:pStyle w:val="TableParagraph"/>
            </w:pPr>
          </w:p>
        </w:tc>
        <w:tc>
          <w:tcPr>
            <w:tcW w:w="1035" w:type="dxa"/>
          </w:tcPr>
          <w:p w14:paraId="548EB10A" w14:textId="77777777" w:rsidR="00A84015" w:rsidRDefault="00000000">
            <w:pPr>
              <w:pStyle w:val="TableParagraph"/>
              <w:spacing w:before="72"/>
              <w:ind w:left="9"/>
              <w:jc w:val="center"/>
            </w:pPr>
            <w:r>
              <w:rPr>
                <w:spacing w:val="-10"/>
              </w:rPr>
              <w:t>1</w:t>
            </w:r>
          </w:p>
        </w:tc>
        <w:tc>
          <w:tcPr>
            <w:tcW w:w="1220" w:type="dxa"/>
            <w:tcBorders>
              <w:right w:val="single" w:sz="8" w:space="0" w:color="000000"/>
            </w:tcBorders>
          </w:tcPr>
          <w:p w14:paraId="012A9DEF" w14:textId="77777777" w:rsidR="00A84015" w:rsidRDefault="00A84015">
            <w:pPr>
              <w:pStyle w:val="TableParagraph"/>
            </w:pPr>
          </w:p>
        </w:tc>
        <w:tc>
          <w:tcPr>
            <w:tcW w:w="1028" w:type="dxa"/>
            <w:tcBorders>
              <w:left w:val="single" w:sz="8" w:space="0" w:color="000000"/>
            </w:tcBorders>
          </w:tcPr>
          <w:p w14:paraId="5AF9905F" w14:textId="77777777" w:rsidR="00A84015" w:rsidRDefault="00000000">
            <w:pPr>
              <w:pStyle w:val="TableParagraph"/>
              <w:spacing w:before="72"/>
              <w:ind w:left="86"/>
              <w:jc w:val="center"/>
            </w:pPr>
            <w:r>
              <w:rPr>
                <w:spacing w:val="-10"/>
              </w:rPr>
              <w:t>1</w:t>
            </w:r>
          </w:p>
        </w:tc>
        <w:tc>
          <w:tcPr>
            <w:tcW w:w="1314" w:type="dxa"/>
          </w:tcPr>
          <w:p w14:paraId="33246F58" w14:textId="77777777" w:rsidR="00A84015" w:rsidRDefault="00A84015">
            <w:pPr>
              <w:pStyle w:val="TableParagraph"/>
            </w:pPr>
          </w:p>
        </w:tc>
        <w:tc>
          <w:tcPr>
            <w:tcW w:w="1027" w:type="dxa"/>
          </w:tcPr>
          <w:p w14:paraId="17D05851" w14:textId="77777777" w:rsidR="00A84015" w:rsidRDefault="00000000">
            <w:pPr>
              <w:pStyle w:val="TableParagraph"/>
              <w:spacing w:before="72"/>
              <w:ind w:left="3"/>
              <w:jc w:val="center"/>
            </w:pPr>
            <w:r>
              <w:rPr>
                <w:spacing w:val="-10"/>
              </w:rPr>
              <w:t>1</w:t>
            </w:r>
          </w:p>
        </w:tc>
        <w:tc>
          <w:tcPr>
            <w:tcW w:w="1255" w:type="dxa"/>
          </w:tcPr>
          <w:p w14:paraId="2ED8CAA2" w14:textId="77777777" w:rsidR="00A84015" w:rsidRDefault="00A84015">
            <w:pPr>
              <w:pStyle w:val="TableParagraph"/>
            </w:pPr>
          </w:p>
        </w:tc>
      </w:tr>
      <w:tr w:rsidR="00A84015" w14:paraId="22688413" w14:textId="77777777">
        <w:trPr>
          <w:trHeight w:val="336"/>
        </w:trPr>
        <w:tc>
          <w:tcPr>
            <w:tcW w:w="2510" w:type="dxa"/>
          </w:tcPr>
          <w:p w14:paraId="027AF77B" w14:textId="77777777" w:rsidR="00A84015" w:rsidRDefault="00000000">
            <w:pPr>
              <w:pStyle w:val="TableParagraph"/>
              <w:spacing w:before="33"/>
              <w:ind w:right="158"/>
              <w:jc w:val="right"/>
            </w:pPr>
            <w:r>
              <w:t>Neighbourhood</w:t>
            </w:r>
            <w:r>
              <w:rPr>
                <w:spacing w:val="-13"/>
              </w:rPr>
              <w:t xml:space="preserve"> </w:t>
            </w:r>
            <w:r>
              <w:rPr>
                <w:spacing w:val="-2"/>
              </w:rPr>
              <w:t>Store</w:t>
            </w:r>
          </w:p>
        </w:tc>
        <w:tc>
          <w:tcPr>
            <w:tcW w:w="788" w:type="dxa"/>
          </w:tcPr>
          <w:p w14:paraId="4274E28E" w14:textId="77777777" w:rsidR="00A84015" w:rsidRDefault="00000000">
            <w:pPr>
              <w:pStyle w:val="TableParagraph"/>
              <w:spacing w:before="33"/>
              <w:ind w:left="12"/>
              <w:jc w:val="center"/>
            </w:pPr>
            <w:r>
              <w:rPr>
                <w:spacing w:val="-4"/>
              </w:rPr>
              <w:t>7.34</w:t>
            </w:r>
          </w:p>
        </w:tc>
        <w:tc>
          <w:tcPr>
            <w:tcW w:w="1355" w:type="dxa"/>
          </w:tcPr>
          <w:p w14:paraId="19243643" w14:textId="77777777" w:rsidR="00A84015" w:rsidRDefault="00000000">
            <w:pPr>
              <w:pStyle w:val="TableParagraph"/>
              <w:spacing w:before="33"/>
              <w:ind w:left="145"/>
            </w:pPr>
            <w:r>
              <w:t>3.67</w:t>
            </w:r>
            <w:r>
              <w:rPr>
                <w:spacing w:val="-3"/>
              </w:rPr>
              <w:t xml:space="preserve"> </w:t>
            </w:r>
            <w:r>
              <w:t>-</w:t>
            </w:r>
            <w:r>
              <w:rPr>
                <w:spacing w:val="-2"/>
              </w:rPr>
              <w:t xml:space="preserve"> 16.84</w:t>
            </w:r>
          </w:p>
        </w:tc>
        <w:tc>
          <w:tcPr>
            <w:tcW w:w="1035" w:type="dxa"/>
          </w:tcPr>
          <w:p w14:paraId="1D425633" w14:textId="77777777" w:rsidR="00A84015" w:rsidRDefault="00000000">
            <w:pPr>
              <w:pStyle w:val="TableParagraph"/>
              <w:spacing w:before="33"/>
              <w:ind w:left="9"/>
              <w:jc w:val="center"/>
            </w:pPr>
            <w:r>
              <w:rPr>
                <w:spacing w:val="-4"/>
              </w:rPr>
              <w:t>6.97</w:t>
            </w:r>
          </w:p>
        </w:tc>
        <w:tc>
          <w:tcPr>
            <w:tcW w:w="1220" w:type="dxa"/>
            <w:tcBorders>
              <w:right w:val="single" w:sz="8" w:space="0" w:color="000000"/>
            </w:tcBorders>
          </w:tcPr>
          <w:p w14:paraId="14F19C4D" w14:textId="77777777" w:rsidR="00A84015" w:rsidRDefault="00000000">
            <w:pPr>
              <w:pStyle w:val="TableParagraph"/>
              <w:spacing w:before="33"/>
              <w:ind w:left="88"/>
            </w:pPr>
            <w:r>
              <w:t>3.20</w:t>
            </w:r>
            <w:r>
              <w:rPr>
                <w:spacing w:val="-3"/>
              </w:rPr>
              <w:t xml:space="preserve"> </w:t>
            </w:r>
            <w:r>
              <w:t>-</w:t>
            </w:r>
            <w:r>
              <w:rPr>
                <w:spacing w:val="-2"/>
              </w:rPr>
              <w:t xml:space="preserve"> 16.96</w:t>
            </w:r>
          </w:p>
        </w:tc>
        <w:tc>
          <w:tcPr>
            <w:tcW w:w="1028" w:type="dxa"/>
            <w:tcBorders>
              <w:left w:val="single" w:sz="8" w:space="0" w:color="000000"/>
            </w:tcBorders>
          </w:tcPr>
          <w:p w14:paraId="1405EB2D" w14:textId="77777777" w:rsidR="00A84015" w:rsidRDefault="00000000">
            <w:pPr>
              <w:pStyle w:val="TableParagraph"/>
              <w:spacing w:before="33"/>
              <w:ind w:left="86"/>
              <w:jc w:val="center"/>
            </w:pPr>
            <w:r>
              <w:rPr>
                <w:spacing w:val="-4"/>
              </w:rPr>
              <w:t>4.76</w:t>
            </w:r>
          </w:p>
        </w:tc>
        <w:tc>
          <w:tcPr>
            <w:tcW w:w="1314" w:type="dxa"/>
          </w:tcPr>
          <w:p w14:paraId="421BCF7A" w14:textId="77777777" w:rsidR="00A84015" w:rsidRDefault="00000000">
            <w:pPr>
              <w:pStyle w:val="TableParagraph"/>
              <w:spacing w:before="33"/>
              <w:ind w:left="227"/>
            </w:pPr>
            <w:r>
              <w:t>2.74</w:t>
            </w:r>
            <w:r>
              <w:rPr>
                <w:spacing w:val="-5"/>
              </w:rPr>
              <w:t xml:space="preserve"> </w:t>
            </w:r>
            <w:r>
              <w:t>-</w:t>
            </w:r>
            <w:r>
              <w:rPr>
                <w:spacing w:val="-2"/>
              </w:rPr>
              <w:t xml:space="preserve"> </w:t>
            </w:r>
            <w:r>
              <w:rPr>
                <w:spacing w:val="-4"/>
              </w:rPr>
              <w:t>8.80</w:t>
            </w:r>
          </w:p>
        </w:tc>
        <w:tc>
          <w:tcPr>
            <w:tcW w:w="1027" w:type="dxa"/>
          </w:tcPr>
          <w:p w14:paraId="3FF342A7" w14:textId="77777777" w:rsidR="00A84015" w:rsidRDefault="00000000">
            <w:pPr>
              <w:pStyle w:val="TableParagraph"/>
              <w:spacing w:before="33"/>
              <w:ind w:left="3"/>
              <w:jc w:val="center"/>
            </w:pPr>
            <w:r>
              <w:rPr>
                <w:spacing w:val="-4"/>
              </w:rPr>
              <w:t>3.25</w:t>
            </w:r>
          </w:p>
        </w:tc>
        <w:tc>
          <w:tcPr>
            <w:tcW w:w="1255" w:type="dxa"/>
          </w:tcPr>
          <w:p w14:paraId="7250D782" w14:textId="77777777" w:rsidR="00A84015" w:rsidRDefault="00000000">
            <w:pPr>
              <w:pStyle w:val="TableParagraph"/>
              <w:spacing w:before="33"/>
              <w:ind w:left="151"/>
            </w:pPr>
            <w:r>
              <w:t>1.70</w:t>
            </w:r>
            <w:r>
              <w:rPr>
                <w:spacing w:val="-5"/>
              </w:rPr>
              <w:t xml:space="preserve"> </w:t>
            </w:r>
            <w:r>
              <w:t>-</w:t>
            </w:r>
            <w:r>
              <w:rPr>
                <w:spacing w:val="-2"/>
              </w:rPr>
              <w:t xml:space="preserve"> </w:t>
            </w:r>
            <w:r>
              <w:rPr>
                <w:spacing w:val="-4"/>
              </w:rPr>
              <w:t>6.50</w:t>
            </w:r>
          </w:p>
        </w:tc>
      </w:tr>
      <w:tr w:rsidR="00A84015" w14:paraId="7DCF72CD" w14:textId="77777777">
        <w:trPr>
          <w:trHeight w:val="390"/>
        </w:trPr>
        <w:tc>
          <w:tcPr>
            <w:tcW w:w="2510" w:type="dxa"/>
          </w:tcPr>
          <w:p w14:paraId="1E9F8B78" w14:textId="77777777" w:rsidR="00A84015" w:rsidRDefault="00000000">
            <w:pPr>
              <w:pStyle w:val="TableParagraph"/>
              <w:spacing w:before="41"/>
              <w:ind w:left="450"/>
            </w:pPr>
            <w:r>
              <w:t>Convenience</w:t>
            </w:r>
            <w:r>
              <w:rPr>
                <w:spacing w:val="-11"/>
              </w:rPr>
              <w:t xml:space="preserve"> </w:t>
            </w:r>
            <w:r>
              <w:rPr>
                <w:spacing w:val="-2"/>
              </w:rPr>
              <w:t>Store</w:t>
            </w:r>
          </w:p>
        </w:tc>
        <w:tc>
          <w:tcPr>
            <w:tcW w:w="788" w:type="dxa"/>
          </w:tcPr>
          <w:p w14:paraId="69B647C5" w14:textId="77777777" w:rsidR="00A84015" w:rsidRDefault="00000000">
            <w:pPr>
              <w:pStyle w:val="TableParagraph"/>
              <w:spacing w:before="41"/>
              <w:ind w:left="12"/>
              <w:jc w:val="center"/>
            </w:pPr>
            <w:r>
              <w:rPr>
                <w:spacing w:val="-2"/>
              </w:rPr>
              <w:t>29.62</w:t>
            </w:r>
          </w:p>
        </w:tc>
        <w:tc>
          <w:tcPr>
            <w:tcW w:w="1355" w:type="dxa"/>
          </w:tcPr>
          <w:p w14:paraId="10EC2DDB" w14:textId="77777777" w:rsidR="00A84015" w:rsidRDefault="00000000">
            <w:pPr>
              <w:pStyle w:val="TableParagraph"/>
              <w:spacing w:before="41"/>
              <w:ind w:left="90"/>
            </w:pPr>
            <w:r>
              <w:t>10.54</w:t>
            </w:r>
            <w:r>
              <w:rPr>
                <w:spacing w:val="-3"/>
              </w:rPr>
              <w:t xml:space="preserve"> </w:t>
            </w:r>
            <w:r>
              <w:t>-</w:t>
            </w:r>
            <w:r>
              <w:rPr>
                <w:spacing w:val="-3"/>
              </w:rPr>
              <w:t xml:space="preserve"> </w:t>
            </w:r>
            <w:r>
              <w:rPr>
                <w:spacing w:val="-2"/>
              </w:rPr>
              <w:t>91.18</w:t>
            </w:r>
          </w:p>
        </w:tc>
        <w:tc>
          <w:tcPr>
            <w:tcW w:w="1035" w:type="dxa"/>
          </w:tcPr>
          <w:p w14:paraId="4FA7E381" w14:textId="77777777" w:rsidR="00A84015" w:rsidRDefault="00000000">
            <w:pPr>
              <w:pStyle w:val="TableParagraph"/>
              <w:spacing w:before="41"/>
              <w:ind w:left="9"/>
              <w:jc w:val="center"/>
            </w:pPr>
            <w:r>
              <w:rPr>
                <w:spacing w:val="-2"/>
              </w:rPr>
              <w:t>27.12</w:t>
            </w:r>
          </w:p>
        </w:tc>
        <w:tc>
          <w:tcPr>
            <w:tcW w:w="1220" w:type="dxa"/>
            <w:tcBorders>
              <w:right w:val="single" w:sz="8" w:space="0" w:color="000000"/>
            </w:tcBorders>
          </w:tcPr>
          <w:p w14:paraId="76CFA77F" w14:textId="77777777" w:rsidR="00A84015" w:rsidRDefault="00000000">
            <w:pPr>
              <w:pStyle w:val="TableParagraph"/>
              <w:spacing w:before="41"/>
              <w:ind w:left="88"/>
            </w:pPr>
            <w:r>
              <w:t>9.26</w:t>
            </w:r>
            <w:r>
              <w:rPr>
                <w:spacing w:val="-3"/>
              </w:rPr>
              <w:t xml:space="preserve"> </w:t>
            </w:r>
            <w:r>
              <w:t>-</w:t>
            </w:r>
            <w:r>
              <w:rPr>
                <w:spacing w:val="-2"/>
              </w:rPr>
              <w:t xml:space="preserve"> 86.83</w:t>
            </w:r>
          </w:p>
        </w:tc>
        <w:tc>
          <w:tcPr>
            <w:tcW w:w="1028" w:type="dxa"/>
            <w:tcBorders>
              <w:left w:val="single" w:sz="8" w:space="0" w:color="000000"/>
            </w:tcBorders>
          </w:tcPr>
          <w:p w14:paraId="1759B8F6" w14:textId="77777777" w:rsidR="00A84015" w:rsidRDefault="00000000">
            <w:pPr>
              <w:pStyle w:val="TableParagraph"/>
              <w:spacing w:before="41"/>
              <w:ind w:left="86"/>
              <w:jc w:val="center"/>
            </w:pPr>
            <w:r>
              <w:rPr>
                <w:spacing w:val="-4"/>
              </w:rPr>
              <w:t>7.91</w:t>
            </w:r>
          </w:p>
        </w:tc>
        <w:tc>
          <w:tcPr>
            <w:tcW w:w="1314" w:type="dxa"/>
          </w:tcPr>
          <w:p w14:paraId="681978BA" w14:textId="77777777" w:rsidR="00A84015" w:rsidRDefault="00000000">
            <w:pPr>
              <w:pStyle w:val="TableParagraph"/>
              <w:spacing w:before="41"/>
              <w:ind w:left="172"/>
            </w:pPr>
            <w:r>
              <w:t>3.04</w:t>
            </w:r>
            <w:r>
              <w:rPr>
                <w:spacing w:val="-3"/>
              </w:rPr>
              <w:t xml:space="preserve"> </w:t>
            </w:r>
            <w:r>
              <w:t>-</w:t>
            </w:r>
            <w:r>
              <w:rPr>
                <w:spacing w:val="-2"/>
              </w:rPr>
              <w:t xml:space="preserve"> 20.70</w:t>
            </w:r>
          </w:p>
        </w:tc>
        <w:tc>
          <w:tcPr>
            <w:tcW w:w="1027" w:type="dxa"/>
          </w:tcPr>
          <w:p w14:paraId="34395CB9" w14:textId="77777777" w:rsidR="00A84015" w:rsidRDefault="00000000">
            <w:pPr>
              <w:pStyle w:val="TableParagraph"/>
              <w:spacing w:before="41"/>
              <w:ind w:left="3"/>
              <w:jc w:val="center"/>
            </w:pPr>
            <w:r>
              <w:rPr>
                <w:spacing w:val="-4"/>
              </w:rPr>
              <w:t>6.15</w:t>
            </w:r>
          </w:p>
        </w:tc>
        <w:tc>
          <w:tcPr>
            <w:tcW w:w="1255" w:type="dxa"/>
          </w:tcPr>
          <w:p w14:paraId="17A7074A" w14:textId="77777777" w:rsidR="00A84015" w:rsidRDefault="00000000">
            <w:pPr>
              <w:pStyle w:val="TableParagraph"/>
              <w:spacing w:before="41"/>
              <w:ind w:left="96"/>
            </w:pPr>
            <w:r>
              <w:t>2.24</w:t>
            </w:r>
            <w:r>
              <w:rPr>
                <w:spacing w:val="-3"/>
              </w:rPr>
              <w:t xml:space="preserve"> </w:t>
            </w:r>
            <w:r>
              <w:t>-</w:t>
            </w:r>
            <w:r>
              <w:rPr>
                <w:spacing w:val="-2"/>
              </w:rPr>
              <w:t xml:space="preserve"> 16.93</w:t>
            </w:r>
          </w:p>
        </w:tc>
      </w:tr>
      <w:tr w:rsidR="00A84015" w14:paraId="00E7C5F6" w14:textId="77777777">
        <w:trPr>
          <w:trHeight w:val="300"/>
        </w:trPr>
        <w:tc>
          <w:tcPr>
            <w:tcW w:w="6908" w:type="dxa"/>
            <w:gridSpan w:val="5"/>
            <w:tcBorders>
              <w:right w:val="single" w:sz="8" w:space="0" w:color="000000"/>
            </w:tcBorders>
            <w:shd w:val="clear" w:color="auto" w:fill="EFEFEF"/>
          </w:tcPr>
          <w:p w14:paraId="1A742945" w14:textId="77777777" w:rsidR="00A84015" w:rsidRDefault="00000000">
            <w:pPr>
              <w:pStyle w:val="TableParagraph"/>
              <w:spacing w:before="17"/>
              <w:ind w:left="75"/>
              <w:rPr>
                <w:i/>
              </w:rPr>
            </w:pPr>
            <w:r>
              <w:rPr>
                <w:i/>
                <w:spacing w:val="-4"/>
              </w:rPr>
              <w:t>City</w:t>
            </w:r>
          </w:p>
        </w:tc>
        <w:tc>
          <w:tcPr>
            <w:tcW w:w="4624" w:type="dxa"/>
            <w:gridSpan w:val="4"/>
            <w:tcBorders>
              <w:left w:val="single" w:sz="8" w:space="0" w:color="000000"/>
            </w:tcBorders>
            <w:shd w:val="clear" w:color="auto" w:fill="EFEFEF"/>
          </w:tcPr>
          <w:p w14:paraId="75600D36" w14:textId="77777777" w:rsidR="00A84015" w:rsidRDefault="00A84015">
            <w:pPr>
              <w:pStyle w:val="TableParagraph"/>
            </w:pPr>
          </w:p>
        </w:tc>
      </w:tr>
      <w:tr w:rsidR="00A84015" w14:paraId="519FCF44" w14:textId="77777777">
        <w:trPr>
          <w:trHeight w:val="321"/>
        </w:trPr>
        <w:tc>
          <w:tcPr>
            <w:tcW w:w="2510" w:type="dxa"/>
          </w:tcPr>
          <w:p w14:paraId="56A20CDD" w14:textId="77777777" w:rsidR="00A84015" w:rsidRDefault="00000000">
            <w:pPr>
              <w:pStyle w:val="TableParagraph"/>
              <w:spacing w:before="32"/>
              <w:ind w:left="450"/>
            </w:pPr>
            <w:r>
              <w:rPr>
                <w:spacing w:val="-2"/>
              </w:rPr>
              <w:t>Cordoba</w:t>
            </w:r>
          </w:p>
        </w:tc>
        <w:tc>
          <w:tcPr>
            <w:tcW w:w="788" w:type="dxa"/>
          </w:tcPr>
          <w:p w14:paraId="21D4515B" w14:textId="77777777" w:rsidR="00A84015" w:rsidRDefault="00000000">
            <w:pPr>
              <w:pStyle w:val="TableParagraph"/>
              <w:spacing w:before="32"/>
              <w:ind w:left="12"/>
              <w:jc w:val="center"/>
            </w:pPr>
            <w:r>
              <w:rPr>
                <w:spacing w:val="-10"/>
              </w:rPr>
              <w:t>1</w:t>
            </w:r>
          </w:p>
        </w:tc>
        <w:tc>
          <w:tcPr>
            <w:tcW w:w="1355" w:type="dxa"/>
          </w:tcPr>
          <w:p w14:paraId="6941D18B" w14:textId="77777777" w:rsidR="00A84015" w:rsidRDefault="00A84015">
            <w:pPr>
              <w:pStyle w:val="TableParagraph"/>
            </w:pPr>
          </w:p>
        </w:tc>
        <w:tc>
          <w:tcPr>
            <w:tcW w:w="1035" w:type="dxa"/>
          </w:tcPr>
          <w:p w14:paraId="1D10B843" w14:textId="77777777" w:rsidR="00A84015" w:rsidRDefault="00000000">
            <w:pPr>
              <w:pStyle w:val="TableParagraph"/>
              <w:spacing w:before="32"/>
              <w:ind w:left="9"/>
              <w:jc w:val="center"/>
            </w:pPr>
            <w:r>
              <w:rPr>
                <w:spacing w:val="-10"/>
              </w:rPr>
              <w:t>1</w:t>
            </w:r>
          </w:p>
        </w:tc>
        <w:tc>
          <w:tcPr>
            <w:tcW w:w="1220" w:type="dxa"/>
            <w:tcBorders>
              <w:right w:val="single" w:sz="8" w:space="0" w:color="000000"/>
            </w:tcBorders>
          </w:tcPr>
          <w:p w14:paraId="257991FF" w14:textId="77777777" w:rsidR="00A84015" w:rsidRDefault="00A84015">
            <w:pPr>
              <w:pStyle w:val="TableParagraph"/>
            </w:pPr>
          </w:p>
        </w:tc>
        <w:tc>
          <w:tcPr>
            <w:tcW w:w="1028" w:type="dxa"/>
            <w:tcBorders>
              <w:left w:val="single" w:sz="8" w:space="0" w:color="000000"/>
            </w:tcBorders>
          </w:tcPr>
          <w:p w14:paraId="43E2AB31" w14:textId="77777777" w:rsidR="00A84015" w:rsidRDefault="00A84015">
            <w:pPr>
              <w:pStyle w:val="TableParagraph"/>
            </w:pPr>
          </w:p>
        </w:tc>
        <w:tc>
          <w:tcPr>
            <w:tcW w:w="1314" w:type="dxa"/>
          </w:tcPr>
          <w:p w14:paraId="69CE628C" w14:textId="77777777" w:rsidR="00A84015" w:rsidRDefault="00A84015">
            <w:pPr>
              <w:pStyle w:val="TableParagraph"/>
            </w:pPr>
          </w:p>
        </w:tc>
        <w:tc>
          <w:tcPr>
            <w:tcW w:w="1027" w:type="dxa"/>
          </w:tcPr>
          <w:p w14:paraId="2DA77658" w14:textId="77777777" w:rsidR="00A84015" w:rsidRDefault="00000000">
            <w:pPr>
              <w:pStyle w:val="TableParagraph"/>
              <w:spacing w:before="32"/>
              <w:ind w:left="3"/>
              <w:jc w:val="center"/>
            </w:pPr>
            <w:r>
              <w:rPr>
                <w:spacing w:val="-10"/>
              </w:rPr>
              <w:t>1</w:t>
            </w:r>
          </w:p>
        </w:tc>
        <w:tc>
          <w:tcPr>
            <w:tcW w:w="1255" w:type="dxa"/>
          </w:tcPr>
          <w:p w14:paraId="0C73CD83" w14:textId="77777777" w:rsidR="00A84015" w:rsidRDefault="00A84015">
            <w:pPr>
              <w:pStyle w:val="TableParagraph"/>
            </w:pPr>
          </w:p>
        </w:tc>
      </w:tr>
      <w:tr w:rsidR="00A84015" w14:paraId="47262FD5" w14:textId="77777777">
        <w:trPr>
          <w:trHeight w:val="318"/>
        </w:trPr>
        <w:tc>
          <w:tcPr>
            <w:tcW w:w="2510" w:type="dxa"/>
          </w:tcPr>
          <w:p w14:paraId="7ADF31C6" w14:textId="77777777" w:rsidR="00A84015" w:rsidRDefault="00000000">
            <w:pPr>
              <w:pStyle w:val="TableParagraph"/>
              <w:spacing w:before="26"/>
              <w:ind w:left="450"/>
            </w:pPr>
            <w:r>
              <w:rPr>
                <w:spacing w:val="-2"/>
              </w:rPr>
              <w:t>Quilmes</w:t>
            </w:r>
          </w:p>
        </w:tc>
        <w:tc>
          <w:tcPr>
            <w:tcW w:w="788" w:type="dxa"/>
          </w:tcPr>
          <w:p w14:paraId="5F858378" w14:textId="77777777" w:rsidR="00A84015" w:rsidRDefault="00000000">
            <w:pPr>
              <w:pStyle w:val="TableParagraph"/>
              <w:spacing w:before="26"/>
              <w:ind w:left="12"/>
              <w:jc w:val="center"/>
            </w:pPr>
            <w:r>
              <w:rPr>
                <w:spacing w:val="-4"/>
              </w:rPr>
              <w:t>0.33</w:t>
            </w:r>
          </w:p>
        </w:tc>
        <w:tc>
          <w:tcPr>
            <w:tcW w:w="1355" w:type="dxa"/>
          </w:tcPr>
          <w:p w14:paraId="20118D41" w14:textId="77777777" w:rsidR="00A84015" w:rsidRDefault="00000000">
            <w:pPr>
              <w:pStyle w:val="TableParagraph"/>
              <w:spacing w:before="26"/>
              <w:ind w:left="200"/>
            </w:pPr>
            <w:r>
              <w:t>0.18</w:t>
            </w:r>
            <w:r>
              <w:rPr>
                <w:spacing w:val="-5"/>
              </w:rPr>
              <w:t xml:space="preserve"> </w:t>
            </w:r>
            <w:r>
              <w:t>-</w:t>
            </w:r>
            <w:r>
              <w:rPr>
                <w:spacing w:val="-2"/>
              </w:rPr>
              <w:t xml:space="preserve"> </w:t>
            </w:r>
            <w:r>
              <w:rPr>
                <w:spacing w:val="-4"/>
              </w:rPr>
              <w:t>0.61</w:t>
            </w:r>
          </w:p>
        </w:tc>
        <w:tc>
          <w:tcPr>
            <w:tcW w:w="1035" w:type="dxa"/>
          </w:tcPr>
          <w:p w14:paraId="5C64B75A" w14:textId="77777777" w:rsidR="00A84015" w:rsidRDefault="00000000">
            <w:pPr>
              <w:pStyle w:val="TableParagraph"/>
              <w:spacing w:before="26"/>
              <w:ind w:left="9"/>
              <w:jc w:val="center"/>
            </w:pPr>
            <w:r>
              <w:rPr>
                <w:spacing w:val="-4"/>
              </w:rPr>
              <w:t>0.44</w:t>
            </w:r>
          </w:p>
        </w:tc>
        <w:tc>
          <w:tcPr>
            <w:tcW w:w="1220" w:type="dxa"/>
            <w:tcBorders>
              <w:right w:val="single" w:sz="8" w:space="0" w:color="000000"/>
            </w:tcBorders>
          </w:tcPr>
          <w:p w14:paraId="1EDACF24" w14:textId="77777777" w:rsidR="00A84015" w:rsidRDefault="00000000">
            <w:pPr>
              <w:pStyle w:val="TableParagraph"/>
              <w:spacing w:before="26"/>
              <w:ind w:left="143"/>
            </w:pPr>
            <w:r>
              <w:t>0.21</w:t>
            </w:r>
            <w:r>
              <w:rPr>
                <w:spacing w:val="-5"/>
              </w:rPr>
              <w:t xml:space="preserve"> </w:t>
            </w:r>
            <w:r>
              <w:t>-</w:t>
            </w:r>
            <w:r>
              <w:rPr>
                <w:spacing w:val="-2"/>
              </w:rPr>
              <w:t xml:space="preserve"> </w:t>
            </w:r>
            <w:r>
              <w:rPr>
                <w:spacing w:val="-4"/>
              </w:rPr>
              <w:t>0.89</w:t>
            </w:r>
          </w:p>
        </w:tc>
        <w:tc>
          <w:tcPr>
            <w:tcW w:w="1028" w:type="dxa"/>
            <w:tcBorders>
              <w:left w:val="single" w:sz="8" w:space="0" w:color="000000"/>
            </w:tcBorders>
          </w:tcPr>
          <w:p w14:paraId="4B494A94" w14:textId="77777777" w:rsidR="00A84015" w:rsidRDefault="00000000">
            <w:pPr>
              <w:pStyle w:val="TableParagraph"/>
              <w:spacing w:before="26"/>
              <w:ind w:left="86"/>
              <w:jc w:val="center"/>
            </w:pPr>
            <w:r>
              <w:rPr>
                <w:spacing w:val="-4"/>
              </w:rPr>
              <w:t>0.20</w:t>
            </w:r>
          </w:p>
        </w:tc>
        <w:tc>
          <w:tcPr>
            <w:tcW w:w="1314" w:type="dxa"/>
          </w:tcPr>
          <w:p w14:paraId="55BEF9F0" w14:textId="77777777" w:rsidR="00A84015" w:rsidRDefault="00000000">
            <w:pPr>
              <w:pStyle w:val="TableParagraph"/>
              <w:spacing w:before="26"/>
              <w:ind w:left="227"/>
            </w:pPr>
            <w:r>
              <w:t>0.10</w:t>
            </w:r>
            <w:r>
              <w:rPr>
                <w:spacing w:val="-5"/>
              </w:rPr>
              <w:t xml:space="preserve"> </w:t>
            </w:r>
            <w:r>
              <w:t>-</w:t>
            </w:r>
            <w:r>
              <w:rPr>
                <w:spacing w:val="-2"/>
              </w:rPr>
              <w:t xml:space="preserve"> </w:t>
            </w:r>
            <w:r>
              <w:rPr>
                <w:spacing w:val="-4"/>
              </w:rPr>
              <w:t>0.37</w:t>
            </w:r>
          </w:p>
        </w:tc>
        <w:tc>
          <w:tcPr>
            <w:tcW w:w="1027" w:type="dxa"/>
          </w:tcPr>
          <w:p w14:paraId="1A8754CA" w14:textId="77777777" w:rsidR="00A84015" w:rsidRDefault="00000000">
            <w:pPr>
              <w:pStyle w:val="TableParagraph"/>
              <w:spacing w:before="26"/>
              <w:ind w:left="3"/>
              <w:jc w:val="center"/>
            </w:pPr>
            <w:r>
              <w:rPr>
                <w:spacing w:val="-4"/>
              </w:rPr>
              <w:t>0.24</w:t>
            </w:r>
          </w:p>
        </w:tc>
        <w:tc>
          <w:tcPr>
            <w:tcW w:w="1255" w:type="dxa"/>
          </w:tcPr>
          <w:p w14:paraId="54CC92BD" w14:textId="77777777" w:rsidR="00A84015" w:rsidRDefault="00000000">
            <w:pPr>
              <w:pStyle w:val="TableParagraph"/>
              <w:spacing w:before="26"/>
              <w:ind w:left="151"/>
            </w:pPr>
            <w:r>
              <w:t>0.12</w:t>
            </w:r>
            <w:r>
              <w:rPr>
                <w:spacing w:val="-5"/>
              </w:rPr>
              <w:t xml:space="preserve"> </w:t>
            </w:r>
            <w:r>
              <w:t>-</w:t>
            </w:r>
            <w:r>
              <w:rPr>
                <w:spacing w:val="-2"/>
              </w:rPr>
              <w:t xml:space="preserve"> </w:t>
            </w:r>
            <w:r>
              <w:rPr>
                <w:spacing w:val="-4"/>
              </w:rPr>
              <w:t>0.48</w:t>
            </w:r>
          </w:p>
        </w:tc>
      </w:tr>
      <w:tr w:rsidR="00A84015" w14:paraId="0C3133CB" w14:textId="77777777">
        <w:trPr>
          <w:trHeight w:val="333"/>
        </w:trPr>
        <w:tc>
          <w:tcPr>
            <w:tcW w:w="2510" w:type="dxa"/>
          </w:tcPr>
          <w:p w14:paraId="1F05C9AF" w14:textId="77777777" w:rsidR="00A84015" w:rsidRDefault="00000000">
            <w:pPr>
              <w:pStyle w:val="TableParagraph"/>
              <w:spacing w:before="30"/>
              <w:ind w:right="97"/>
              <w:jc w:val="right"/>
            </w:pPr>
            <w:r>
              <w:t>San</w:t>
            </w:r>
            <w:r>
              <w:rPr>
                <w:spacing w:val="-5"/>
              </w:rPr>
              <w:t xml:space="preserve"> </w:t>
            </w:r>
            <w:r>
              <w:t>Salvador</w:t>
            </w:r>
            <w:r>
              <w:rPr>
                <w:spacing w:val="-4"/>
              </w:rPr>
              <w:t xml:space="preserve"> </w:t>
            </w:r>
            <w:r>
              <w:t>de</w:t>
            </w:r>
            <w:r>
              <w:rPr>
                <w:spacing w:val="-4"/>
              </w:rPr>
              <w:t xml:space="preserve"> </w:t>
            </w:r>
            <w:r>
              <w:rPr>
                <w:spacing w:val="-2"/>
              </w:rPr>
              <w:t>Jujuy</w:t>
            </w:r>
          </w:p>
        </w:tc>
        <w:tc>
          <w:tcPr>
            <w:tcW w:w="788" w:type="dxa"/>
          </w:tcPr>
          <w:p w14:paraId="3C17071B" w14:textId="77777777" w:rsidR="00A84015" w:rsidRDefault="00000000">
            <w:pPr>
              <w:pStyle w:val="TableParagraph"/>
              <w:spacing w:before="30"/>
              <w:ind w:left="12"/>
              <w:jc w:val="center"/>
            </w:pPr>
            <w:r>
              <w:rPr>
                <w:spacing w:val="-4"/>
              </w:rPr>
              <w:t>0.40</w:t>
            </w:r>
          </w:p>
        </w:tc>
        <w:tc>
          <w:tcPr>
            <w:tcW w:w="1355" w:type="dxa"/>
          </w:tcPr>
          <w:p w14:paraId="5A786A0D" w14:textId="77777777" w:rsidR="00A84015" w:rsidRDefault="00000000">
            <w:pPr>
              <w:pStyle w:val="TableParagraph"/>
              <w:spacing w:before="30"/>
              <w:ind w:left="200"/>
            </w:pPr>
            <w:r>
              <w:t>0.21</w:t>
            </w:r>
            <w:r>
              <w:rPr>
                <w:spacing w:val="-5"/>
              </w:rPr>
              <w:t xml:space="preserve"> </w:t>
            </w:r>
            <w:r>
              <w:t>-</w:t>
            </w:r>
            <w:r>
              <w:rPr>
                <w:spacing w:val="-2"/>
              </w:rPr>
              <w:t xml:space="preserve"> </w:t>
            </w:r>
            <w:r>
              <w:rPr>
                <w:spacing w:val="-4"/>
              </w:rPr>
              <w:t>0.72</w:t>
            </w:r>
          </w:p>
        </w:tc>
        <w:tc>
          <w:tcPr>
            <w:tcW w:w="1035" w:type="dxa"/>
          </w:tcPr>
          <w:p w14:paraId="58896D5B" w14:textId="77777777" w:rsidR="00A84015" w:rsidRDefault="00000000">
            <w:pPr>
              <w:pStyle w:val="TableParagraph"/>
              <w:spacing w:before="30"/>
              <w:ind w:left="9"/>
              <w:jc w:val="center"/>
            </w:pPr>
            <w:r>
              <w:rPr>
                <w:spacing w:val="-4"/>
              </w:rPr>
              <w:t>0.27</w:t>
            </w:r>
          </w:p>
        </w:tc>
        <w:tc>
          <w:tcPr>
            <w:tcW w:w="1220" w:type="dxa"/>
            <w:tcBorders>
              <w:right w:val="single" w:sz="8" w:space="0" w:color="000000"/>
            </w:tcBorders>
          </w:tcPr>
          <w:p w14:paraId="2B3526D5" w14:textId="77777777" w:rsidR="00A84015" w:rsidRDefault="00000000">
            <w:pPr>
              <w:pStyle w:val="TableParagraph"/>
              <w:spacing w:before="30"/>
              <w:ind w:left="143"/>
            </w:pPr>
            <w:r>
              <w:t>0.14</w:t>
            </w:r>
            <w:r>
              <w:rPr>
                <w:spacing w:val="-5"/>
              </w:rPr>
              <w:t xml:space="preserve"> </w:t>
            </w:r>
            <w:r>
              <w:t>-</w:t>
            </w:r>
            <w:r>
              <w:rPr>
                <w:spacing w:val="-2"/>
              </w:rPr>
              <w:t xml:space="preserve"> </w:t>
            </w:r>
            <w:r>
              <w:rPr>
                <w:spacing w:val="-4"/>
              </w:rPr>
              <w:t>0.51</w:t>
            </w:r>
          </w:p>
        </w:tc>
        <w:tc>
          <w:tcPr>
            <w:tcW w:w="1028" w:type="dxa"/>
            <w:tcBorders>
              <w:left w:val="single" w:sz="8" w:space="0" w:color="000000"/>
            </w:tcBorders>
          </w:tcPr>
          <w:p w14:paraId="311F8D00" w14:textId="77777777" w:rsidR="00A84015" w:rsidRDefault="00000000">
            <w:pPr>
              <w:pStyle w:val="TableParagraph"/>
              <w:spacing w:before="30"/>
              <w:ind w:left="86"/>
              <w:jc w:val="center"/>
            </w:pPr>
            <w:r>
              <w:rPr>
                <w:spacing w:val="-4"/>
              </w:rPr>
              <w:t>0.29</w:t>
            </w:r>
          </w:p>
        </w:tc>
        <w:tc>
          <w:tcPr>
            <w:tcW w:w="1314" w:type="dxa"/>
          </w:tcPr>
          <w:p w14:paraId="227107C0" w14:textId="77777777" w:rsidR="00A84015" w:rsidRDefault="00000000">
            <w:pPr>
              <w:pStyle w:val="TableParagraph"/>
              <w:spacing w:before="30"/>
              <w:ind w:left="227"/>
            </w:pPr>
            <w:r>
              <w:t>0.16</w:t>
            </w:r>
            <w:r>
              <w:rPr>
                <w:spacing w:val="-5"/>
              </w:rPr>
              <w:t xml:space="preserve"> </w:t>
            </w:r>
            <w:r>
              <w:t>-</w:t>
            </w:r>
            <w:r>
              <w:rPr>
                <w:spacing w:val="-2"/>
              </w:rPr>
              <w:t xml:space="preserve"> </w:t>
            </w:r>
            <w:r>
              <w:rPr>
                <w:spacing w:val="-4"/>
              </w:rPr>
              <w:t>0.53</w:t>
            </w:r>
          </w:p>
        </w:tc>
        <w:tc>
          <w:tcPr>
            <w:tcW w:w="1027" w:type="dxa"/>
          </w:tcPr>
          <w:p w14:paraId="654326EA" w14:textId="77777777" w:rsidR="00A84015" w:rsidRDefault="00000000">
            <w:pPr>
              <w:pStyle w:val="TableParagraph"/>
              <w:spacing w:before="30"/>
              <w:ind w:left="3"/>
              <w:jc w:val="center"/>
            </w:pPr>
            <w:r>
              <w:rPr>
                <w:spacing w:val="-4"/>
              </w:rPr>
              <w:t>0.22</w:t>
            </w:r>
          </w:p>
        </w:tc>
        <w:tc>
          <w:tcPr>
            <w:tcW w:w="1255" w:type="dxa"/>
          </w:tcPr>
          <w:p w14:paraId="5C38DADD" w14:textId="77777777" w:rsidR="00A84015" w:rsidRDefault="00000000">
            <w:pPr>
              <w:pStyle w:val="TableParagraph"/>
              <w:spacing w:before="30"/>
              <w:ind w:left="155"/>
            </w:pPr>
            <w:r>
              <w:t>0.11</w:t>
            </w:r>
            <w:r>
              <w:rPr>
                <w:spacing w:val="-7"/>
              </w:rPr>
              <w:t xml:space="preserve"> </w:t>
            </w:r>
            <w:r>
              <w:t>-</w:t>
            </w:r>
            <w:r>
              <w:rPr>
                <w:spacing w:val="-6"/>
              </w:rPr>
              <w:t xml:space="preserve"> </w:t>
            </w:r>
            <w:r>
              <w:rPr>
                <w:spacing w:val="-4"/>
              </w:rPr>
              <w:t>0.41</w:t>
            </w:r>
          </w:p>
        </w:tc>
      </w:tr>
      <w:tr w:rsidR="00A84015" w14:paraId="32426C29" w14:textId="77777777">
        <w:trPr>
          <w:trHeight w:val="329"/>
        </w:trPr>
        <w:tc>
          <w:tcPr>
            <w:tcW w:w="2510" w:type="dxa"/>
            <w:tcBorders>
              <w:bottom w:val="single" w:sz="8" w:space="0" w:color="000000"/>
            </w:tcBorders>
          </w:tcPr>
          <w:p w14:paraId="569CAE9D" w14:textId="77777777" w:rsidR="00A84015" w:rsidRDefault="00000000">
            <w:pPr>
              <w:pStyle w:val="TableParagraph"/>
              <w:spacing w:before="41"/>
              <w:ind w:left="450"/>
            </w:pPr>
            <w:r>
              <w:t>Santa</w:t>
            </w:r>
            <w:r>
              <w:rPr>
                <w:spacing w:val="-7"/>
              </w:rPr>
              <w:t xml:space="preserve"> </w:t>
            </w:r>
            <w:r>
              <w:rPr>
                <w:spacing w:val="-4"/>
              </w:rPr>
              <w:t>Rosa</w:t>
            </w:r>
          </w:p>
        </w:tc>
        <w:tc>
          <w:tcPr>
            <w:tcW w:w="788" w:type="dxa"/>
            <w:tcBorders>
              <w:bottom w:val="single" w:sz="8" w:space="0" w:color="000000"/>
            </w:tcBorders>
          </w:tcPr>
          <w:p w14:paraId="53E39BE5" w14:textId="77777777" w:rsidR="00A84015" w:rsidRDefault="00000000">
            <w:pPr>
              <w:pStyle w:val="TableParagraph"/>
              <w:spacing w:before="41"/>
              <w:ind w:left="12"/>
              <w:jc w:val="center"/>
            </w:pPr>
            <w:r>
              <w:rPr>
                <w:spacing w:val="-4"/>
              </w:rPr>
              <w:t>0.93</w:t>
            </w:r>
          </w:p>
        </w:tc>
        <w:tc>
          <w:tcPr>
            <w:tcW w:w="1355" w:type="dxa"/>
            <w:tcBorders>
              <w:bottom w:val="single" w:sz="8" w:space="0" w:color="000000"/>
            </w:tcBorders>
          </w:tcPr>
          <w:p w14:paraId="5DE07861" w14:textId="77777777" w:rsidR="00A84015" w:rsidRDefault="00000000">
            <w:pPr>
              <w:pStyle w:val="TableParagraph"/>
              <w:spacing w:before="41"/>
              <w:ind w:left="200"/>
            </w:pPr>
            <w:r>
              <w:t>0.53</w:t>
            </w:r>
            <w:r>
              <w:rPr>
                <w:spacing w:val="-5"/>
              </w:rPr>
              <w:t xml:space="preserve"> </w:t>
            </w:r>
            <w:r>
              <w:t>-</w:t>
            </w:r>
            <w:r>
              <w:rPr>
                <w:spacing w:val="-2"/>
              </w:rPr>
              <w:t xml:space="preserve"> </w:t>
            </w:r>
            <w:r>
              <w:rPr>
                <w:spacing w:val="-4"/>
              </w:rPr>
              <w:t>1.63</w:t>
            </w:r>
          </w:p>
        </w:tc>
        <w:tc>
          <w:tcPr>
            <w:tcW w:w="1035" w:type="dxa"/>
            <w:tcBorders>
              <w:bottom w:val="single" w:sz="8" w:space="0" w:color="000000"/>
            </w:tcBorders>
          </w:tcPr>
          <w:p w14:paraId="0777196D" w14:textId="77777777" w:rsidR="00A84015" w:rsidRDefault="00000000">
            <w:pPr>
              <w:pStyle w:val="TableParagraph"/>
              <w:spacing w:before="41"/>
              <w:ind w:left="9"/>
              <w:jc w:val="center"/>
            </w:pPr>
            <w:r>
              <w:rPr>
                <w:spacing w:val="-4"/>
              </w:rPr>
              <w:t>0.52</w:t>
            </w:r>
          </w:p>
        </w:tc>
        <w:tc>
          <w:tcPr>
            <w:tcW w:w="1220" w:type="dxa"/>
            <w:tcBorders>
              <w:bottom w:val="single" w:sz="8" w:space="0" w:color="000000"/>
              <w:right w:val="single" w:sz="8" w:space="0" w:color="000000"/>
            </w:tcBorders>
          </w:tcPr>
          <w:p w14:paraId="7F172B8F" w14:textId="77777777" w:rsidR="00A84015" w:rsidRDefault="00000000">
            <w:pPr>
              <w:pStyle w:val="TableParagraph"/>
              <w:spacing w:before="41"/>
              <w:ind w:left="143"/>
            </w:pPr>
            <w:r>
              <w:t>0.28</w:t>
            </w:r>
            <w:r>
              <w:rPr>
                <w:spacing w:val="-5"/>
              </w:rPr>
              <w:t xml:space="preserve"> </w:t>
            </w:r>
            <w:r>
              <w:t>-</w:t>
            </w:r>
            <w:r>
              <w:rPr>
                <w:spacing w:val="-2"/>
              </w:rPr>
              <w:t xml:space="preserve"> </w:t>
            </w:r>
            <w:r>
              <w:rPr>
                <w:spacing w:val="-4"/>
              </w:rPr>
              <w:t>0.96</w:t>
            </w:r>
          </w:p>
        </w:tc>
        <w:tc>
          <w:tcPr>
            <w:tcW w:w="1028" w:type="dxa"/>
            <w:tcBorders>
              <w:left w:val="single" w:sz="8" w:space="0" w:color="000000"/>
              <w:bottom w:val="single" w:sz="8" w:space="0" w:color="000000"/>
            </w:tcBorders>
          </w:tcPr>
          <w:p w14:paraId="36EEF94C" w14:textId="77777777" w:rsidR="00A84015" w:rsidRDefault="00000000">
            <w:pPr>
              <w:pStyle w:val="TableParagraph"/>
              <w:spacing w:before="41"/>
              <w:ind w:left="86"/>
              <w:jc w:val="center"/>
            </w:pPr>
            <w:r>
              <w:rPr>
                <w:spacing w:val="-4"/>
              </w:rPr>
              <w:t>1.47</w:t>
            </w:r>
          </w:p>
        </w:tc>
        <w:tc>
          <w:tcPr>
            <w:tcW w:w="1314" w:type="dxa"/>
            <w:tcBorders>
              <w:bottom w:val="single" w:sz="8" w:space="0" w:color="000000"/>
            </w:tcBorders>
          </w:tcPr>
          <w:p w14:paraId="08DEA544" w14:textId="77777777" w:rsidR="00A84015" w:rsidRDefault="00000000">
            <w:pPr>
              <w:pStyle w:val="TableParagraph"/>
              <w:spacing w:before="41"/>
              <w:ind w:left="227"/>
            </w:pPr>
            <w:r>
              <w:t>0.87</w:t>
            </w:r>
            <w:r>
              <w:rPr>
                <w:spacing w:val="-5"/>
              </w:rPr>
              <w:t xml:space="preserve"> </w:t>
            </w:r>
            <w:r>
              <w:t>-</w:t>
            </w:r>
            <w:r>
              <w:rPr>
                <w:spacing w:val="-2"/>
              </w:rPr>
              <w:t xml:space="preserve"> </w:t>
            </w:r>
            <w:r>
              <w:rPr>
                <w:spacing w:val="-4"/>
              </w:rPr>
              <w:t>2.49</w:t>
            </w:r>
          </w:p>
        </w:tc>
        <w:tc>
          <w:tcPr>
            <w:tcW w:w="1027" w:type="dxa"/>
            <w:tcBorders>
              <w:bottom w:val="single" w:sz="8" w:space="0" w:color="000000"/>
            </w:tcBorders>
          </w:tcPr>
          <w:p w14:paraId="6076CE35" w14:textId="77777777" w:rsidR="00A84015" w:rsidRDefault="00000000">
            <w:pPr>
              <w:pStyle w:val="TableParagraph"/>
              <w:spacing w:before="41"/>
              <w:ind w:left="3"/>
              <w:jc w:val="center"/>
            </w:pPr>
            <w:r>
              <w:rPr>
                <w:spacing w:val="-4"/>
              </w:rPr>
              <w:t>0.97</w:t>
            </w:r>
          </w:p>
        </w:tc>
        <w:tc>
          <w:tcPr>
            <w:tcW w:w="1255" w:type="dxa"/>
            <w:tcBorders>
              <w:bottom w:val="single" w:sz="8" w:space="0" w:color="000000"/>
            </w:tcBorders>
          </w:tcPr>
          <w:p w14:paraId="48D1C369" w14:textId="77777777" w:rsidR="00A84015" w:rsidRDefault="00000000">
            <w:pPr>
              <w:pStyle w:val="TableParagraph"/>
              <w:spacing w:before="41"/>
              <w:ind w:left="151"/>
            </w:pPr>
            <w:r>
              <w:t>0.54</w:t>
            </w:r>
            <w:r>
              <w:rPr>
                <w:spacing w:val="-5"/>
              </w:rPr>
              <w:t xml:space="preserve"> </w:t>
            </w:r>
            <w:r>
              <w:t>-</w:t>
            </w:r>
            <w:r>
              <w:rPr>
                <w:spacing w:val="-2"/>
              </w:rPr>
              <w:t xml:space="preserve"> </w:t>
            </w:r>
            <w:r>
              <w:rPr>
                <w:spacing w:val="-4"/>
              </w:rPr>
              <w:t>1.72</w:t>
            </w:r>
          </w:p>
        </w:tc>
      </w:tr>
    </w:tbl>
    <w:p w14:paraId="393C32A4" w14:textId="77777777" w:rsidR="00A84015" w:rsidRDefault="00000000">
      <w:pPr>
        <w:tabs>
          <w:tab w:val="left" w:pos="7028"/>
        </w:tabs>
        <w:spacing w:before="41" w:line="151" w:lineRule="auto"/>
        <w:ind w:left="2634"/>
        <w:rPr>
          <w:b/>
        </w:rPr>
      </w:pPr>
      <w:r>
        <w:rPr>
          <w:b/>
          <w:position w:val="-12"/>
        </w:rPr>
        <w:t>*</w:t>
      </w:r>
      <w:r>
        <w:rPr>
          <w:b/>
          <w:spacing w:val="-5"/>
          <w:position w:val="-12"/>
        </w:rPr>
        <w:t xml:space="preserve"> </w:t>
      </w:r>
      <w:r>
        <w:rPr>
          <w:b/>
          <w:position w:val="-12"/>
        </w:rPr>
        <w:t>RYO</w:t>
      </w:r>
      <w:r>
        <w:rPr>
          <w:b/>
          <w:spacing w:val="-5"/>
          <w:position w:val="-12"/>
        </w:rPr>
        <w:t xml:space="preserve"> </w:t>
      </w:r>
      <w:r>
        <w:rPr>
          <w:b/>
          <w:position w:val="-12"/>
        </w:rPr>
        <w:t>~</w:t>
      </w:r>
      <w:r>
        <w:rPr>
          <w:b/>
          <w:spacing w:val="-4"/>
          <w:position w:val="-12"/>
        </w:rPr>
        <w:t xml:space="preserve"> </w:t>
      </w:r>
      <w:r>
        <w:rPr>
          <w:b/>
          <w:position w:val="-12"/>
        </w:rPr>
        <w:t>SES</w:t>
      </w:r>
      <w:r>
        <w:rPr>
          <w:b/>
          <w:spacing w:val="-5"/>
          <w:position w:val="-12"/>
        </w:rPr>
        <w:t xml:space="preserve"> </w:t>
      </w:r>
      <w:r>
        <w:rPr>
          <w:b/>
          <w:position w:val="-12"/>
        </w:rPr>
        <w:t>+</w:t>
      </w:r>
      <w:r>
        <w:rPr>
          <w:b/>
          <w:spacing w:val="-5"/>
          <w:position w:val="-12"/>
        </w:rPr>
        <w:t xml:space="preserve"> </w:t>
      </w:r>
      <w:r>
        <w:rPr>
          <w:b/>
          <w:position w:val="-12"/>
        </w:rPr>
        <w:t>Type</w:t>
      </w:r>
      <w:r>
        <w:rPr>
          <w:b/>
          <w:spacing w:val="-4"/>
          <w:position w:val="-12"/>
        </w:rPr>
        <w:t xml:space="preserve"> </w:t>
      </w:r>
      <w:r>
        <w:rPr>
          <w:b/>
          <w:position w:val="-12"/>
        </w:rPr>
        <w:t>of</w:t>
      </w:r>
      <w:r>
        <w:rPr>
          <w:b/>
          <w:spacing w:val="-5"/>
          <w:position w:val="-12"/>
        </w:rPr>
        <w:t xml:space="preserve"> </w:t>
      </w:r>
      <w:r>
        <w:rPr>
          <w:b/>
          <w:position w:val="-12"/>
        </w:rPr>
        <w:t>POS</w:t>
      </w:r>
      <w:r>
        <w:rPr>
          <w:b/>
          <w:spacing w:val="-5"/>
          <w:position w:val="-12"/>
        </w:rPr>
        <w:t xml:space="preserve"> </w:t>
      </w:r>
      <w:r>
        <w:rPr>
          <w:b/>
          <w:position w:val="-12"/>
        </w:rPr>
        <w:t>+</w:t>
      </w:r>
      <w:r>
        <w:rPr>
          <w:b/>
          <w:spacing w:val="-4"/>
          <w:position w:val="-12"/>
        </w:rPr>
        <w:t xml:space="preserve"> City</w:t>
      </w:r>
      <w:r>
        <w:rPr>
          <w:b/>
          <w:position w:val="-12"/>
        </w:rPr>
        <w:tab/>
      </w:r>
      <w:r>
        <w:rPr>
          <w:b/>
        </w:rPr>
        <w:t>**</w:t>
      </w:r>
      <w:r>
        <w:rPr>
          <w:b/>
          <w:spacing w:val="-8"/>
        </w:rPr>
        <w:t xml:space="preserve"> </w:t>
      </w:r>
      <w:r>
        <w:rPr>
          <w:b/>
        </w:rPr>
        <w:t>RYO</w:t>
      </w:r>
      <w:r>
        <w:rPr>
          <w:b/>
          <w:spacing w:val="-6"/>
        </w:rPr>
        <w:t xml:space="preserve"> </w:t>
      </w:r>
      <w:r>
        <w:rPr>
          <w:b/>
        </w:rPr>
        <w:t>accessories</w:t>
      </w:r>
      <w:r>
        <w:rPr>
          <w:b/>
          <w:spacing w:val="-6"/>
        </w:rPr>
        <w:t xml:space="preserve"> </w:t>
      </w:r>
      <w:r>
        <w:rPr>
          <w:b/>
        </w:rPr>
        <w:t>~</w:t>
      </w:r>
      <w:r>
        <w:rPr>
          <w:b/>
          <w:spacing w:val="-6"/>
        </w:rPr>
        <w:t xml:space="preserve"> </w:t>
      </w:r>
      <w:r>
        <w:rPr>
          <w:b/>
        </w:rPr>
        <w:t>SES</w:t>
      </w:r>
      <w:r>
        <w:rPr>
          <w:b/>
          <w:spacing w:val="-6"/>
        </w:rPr>
        <w:t xml:space="preserve"> </w:t>
      </w:r>
      <w:r>
        <w:rPr>
          <w:b/>
        </w:rPr>
        <w:t>+</w:t>
      </w:r>
      <w:r>
        <w:rPr>
          <w:b/>
          <w:spacing w:val="-6"/>
        </w:rPr>
        <w:t xml:space="preserve"> </w:t>
      </w:r>
      <w:r>
        <w:rPr>
          <w:b/>
        </w:rPr>
        <w:t>Type</w:t>
      </w:r>
      <w:r>
        <w:rPr>
          <w:b/>
          <w:spacing w:val="-6"/>
        </w:rPr>
        <w:t xml:space="preserve"> </w:t>
      </w:r>
      <w:r>
        <w:rPr>
          <w:b/>
        </w:rPr>
        <w:t>of</w:t>
      </w:r>
      <w:r>
        <w:rPr>
          <w:b/>
          <w:spacing w:val="-6"/>
        </w:rPr>
        <w:t xml:space="preserve"> </w:t>
      </w:r>
      <w:r>
        <w:rPr>
          <w:b/>
        </w:rPr>
        <w:t>POS</w:t>
      </w:r>
      <w:r>
        <w:rPr>
          <w:b/>
          <w:spacing w:val="-5"/>
        </w:rPr>
        <w:t xml:space="preserve"> </w:t>
      </w:r>
      <w:r>
        <w:rPr>
          <w:b/>
          <w:spacing w:val="-10"/>
        </w:rPr>
        <w:t>+</w:t>
      </w:r>
    </w:p>
    <w:p w14:paraId="556F9DEF" w14:textId="77777777" w:rsidR="00A84015" w:rsidRDefault="00000000">
      <w:pPr>
        <w:spacing w:line="189" w:lineRule="exact"/>
        <w:ind w:left="2823"/>
        <w:jc w:val="center"/>
        <w:rPr>
          <w:b/>
        </w:rPr>
      </w:pPr>
      <w:r>
        <w:rPr>
          <w:b/>
          <w:spacing w:val="-4"/>
        </w:rPr>
        <w:t>City</w:t>
      </w:r>
    </w:p>
    <w:sectPr w:rsidR="00A84015">
      <w:pgSz w:w="11920" w:h="16840"/>
      <w:pgMar w:top="1380" w:right="141" w:bottom="280" w:left="1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CA35C8A"/>
    <w:multiLevelType w:val="hybridMultilevel"/>
    <w:tmpl w:val="AD2607A4"/>
    <w:lvl w:ilvl="0" w:tplc="6EA8AECE">
      <w:start w:val="1"/>
      <w:numFmt w:val="decimal"/>
      <w:lvlText w:val="%1."/>
      <w:lvlJc w:val="left"/>
      <w:pPr>
        <w:ind w:left="1689" w:hanging="39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7AE0A9C">
      <w:numFmt w:val="bullet"/>
      <w:lvlText w:val="•"/>
      <w:lvlJc w:val="left"/>
      <w:pPr>
        <w:ind w:left="2675" w:hanging="390"/>
      </w:pPr>
      <w:rPr>
        <w:rFonts w:hint="default"/>
        <w:lang w:val="en-US" w:eastAsia="en-US" w:bidi="ar-SA"/>
      </w:rPr>
    </w:lvl>
    <w:lvl w:ilvl="2" w:tplc="678618C0">
      <w:numFmt w:val="bullet"/>
      <w:lvlText w:val="•"/>
      <w:lvlJc w:val="left"/>
      <w:pPr>
        <w:ind w:left="3671" w:hanging="390"/>
      </w:pPr>
      <w:rPr>
        <w:rFonts w:hint="default"/>
        <w:lang w:val="en-US" w:eastAsia="en-US" w:bidi="ar-SA"/>
      </w:rPr>
    </w:lvl>
    <w:lvl w:ilvl="3" w:tplc="D2F48428">
      <w:numFmt w:val="bullet"/>
      <w:lvlText w:val="•"/>
      <w:lvlJc w:val="left"/>
      <w:pPr>
        <w:ind w:left="4667" w:hanging="390"/>
      </w:pPr>
      <w:rPr>
        <w:rFonts w:hint="default"/>
        <w:lang w:val="en-US" w:eastAsia="en-US" w:bidi="ar-SA"/>
      </w:rPr>
    </w:lvl>
    <w:lvl w:ilvl="4" w:tplc="71D45B8A">
      <w:numFmt w:val="bullet"/>
      <w:lvlText w:val="•"/>
      <w:lvlJc w:val="left"/>
      <w:pPr>
        <w:ind w:left="5663" w:hanging="390"/>
      </w:pPr>
      <w:rPr>
        <w:rFonts w:hint="default"/>
        <w:lang w:val="en-US" w:eastAsia="en-US" w:bidi="ar-SA"/>
      </w:rPr>
    </w:lvl>
    <w:lvl w:ilvl="5" w:tplc="2D9E9288">
      <w:numFmt w:val="bullet"/>
      <w:lvlText w:val="•"/>
      <w:lvlJc w:val="left"/>
      <w:pPr>
        <w:ind w:left="6659" w:hanging="390"/>
      </w:pPr>
      <w:rPr>
        <w:rFonts w:hint="default"/>
        <w:lang w:val="en-US" w:eastAsia="en-US" w:bidi="ar-SA"/>
      </w:rPr>
    </w:lvl>
    <w:lvl w:ilvl="6" w:tplc="E9945BCE">
      <w:numFmt w:val="bullet"/>
      <w:lvlText w:val="•"/>
      <w:lvlJc w:val="left"/>
      <w:pPr>
        <w:ind w:left="7654" w:hanging="390"/>
      </w:pPr>
      <w:rPr>
        <w:rFonts w:hint="default"/>
        <w:lang w:val="en-US" w:eastAsia="en-US" w:bidi="ar-SA"/>
      </w:rPr>
    </w:lvl>
    <w:lvl w:ilvl="7" w:tplc="627C8E8E">
      <w:numFmt w:val="bullet"/>
      <w:lvlText w:val="•"/>
      <w:lvlJc w:val="left"/>
      <w:pPr>
        <w:ind w:left="8650" w:hanging="390"/>
      </w:pPr>
      <w:rPr>
        <w:rFonts w:hint="default"/>
        <w:lang w:val="en-US" w:eastAsia="en-US" w:bidi="ar-SA"/>
      </w:rPr>
    </w:lvl>
    <w:lvl w:ilvl="8" w:tplc="7C3C951C">
      <w:numFmt w:val="bullet"/>
      <w:lvlText w:val="•"/>
      <w:lvlJc w:val="left"/>
      <w:pPr>
        <w:ind w:left="9646" w:hanging="390"/>
      </w:pPr>
      <w:rPr>
        <w:rFonts w:hint="default"/>
        <w:lang w:val="en-US" w:eastAsia="en-US" w:bidi="ar-SA"/>
      </w:rPr>
    </w:lvl>
  </w:abstractNum>
  <w:num w:numId="1" w16cid:durableId="10626777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015"/>
    <w:rsid w:val="00A84015"/>
    <w:rsid w:val="00CE7621"/>
    <w:rsid w:val="00FE11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873ED"/>
  <w15:docId w15:val="{157B9483-0977-4090-B0F8-46913D191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00"/>
      <w:ind w:left="1299"/>
      <w:outlineLvl w:val="0"/>
    </w:pPr>
    <w:rPr>
      <w:b/>
      <w:bCs/>
      <w:sz w:val="24"/>
      <w:szCs w:val="24"/>
    </w:rPr>
  </w:style>
  <w:style w:type="paragraph" w:styleId="Heading2">
    <w:name w:val="heading 2"/>
    <w:basedOn w:val="Normal"/>
    <w:uiPriority w:val="9"/>
    <w:unhideWhenUsed/>
    <w:qFormat/>
    <w:pPr>
      <w:ind w:left="1299"/>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99"/>
    </w:pPr>
    <w:rPr>
      <w:sz w:val="24"/>
      <w:szCs w:val="24"/>
    </w:rPr>
  </w:style>
  <w:style w:type="paragraph" w:styleId="ListParagraph">
    <w:name w:val="List Paragraph"/>
    <w:basedOn w:val="Normal"/>
    <w:uiPriority w:val="1"/>
    <w:qFormat/>
    <w:pPr>
      <w:ind w:left="1689" w:hanging="39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tpackss.globaltobaccocontrol.org/" TargetMode="External"/><Relationship Id="rId13" Type="http://schemas.openxmlformats.org/officeDocument/2006/relationships/hyperlink" Target="https://www.indec.gob.ar/uploads/informesdeprensa/eph_total_urbano_ingresos_02_234C62770929.pdf" TargetMode="External"/><Relationship Id="rId3" Type="http://schemas.openxmlformats.org/officeDocument/2006/relationships/settings" Target="settings.xml"/><Relationship Id="rId7" Type="http://schemas.openxmlformats.org/officeDocument/2006/relationships/hyperlink" Target="mailto:c.s.moodie@stir.ac.uk" TargetMode="External"/><Relationship Id="rId12" Type="http://schemas.openxmlformats.org/officeDocument/2006/relationships/hyperlink" Target="https://www.indec.gob.ar/ftp/cuadros/publicaciones/enfr_2018_resultados_definitivos.pd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kobotoolbox.org/" TargetMode="External"/><Relationship Id="rId11" Type="http://schemas.openxmlformats.org/officeDocument/2006/relationships/hyperlink" Target="http://www.argentina.gob.ar/salud/consumo-de-tabaco/otros-productos" TargetMode="External"/><Relationship Id="rId5" Type="http://schemas.openxmlformats.org/officeDocument/2006/relationships/hyperlink" Target="mailto:raulmejia@cedes.org" TargetMode="External"/><Relationship Id="rId15" Type="http://schemas.openxmlformats.org/officeDocument/2006/relationships/hyperlink" Target="https://doi.org/10.1093/ntr/ntac224" TargetMode="External"/><Relationship Id="rId10" Type="http://schemas.openxmlformats.org/officeDocument/2006/relationships/hyperlink" Target="https://www.r-project.org/" TargetMode="External"/><Relationship Id="rId4" Type="http://schemas.openxmlformats.org/officeDocument/2006/relationships/webSettings" Target="webSettings.xml"/><Relationship Id="rId9" Type="http://schemas.openxmlformats.org/officeDocument/2006/relationships/hyperlink" Target="https://www.ficargentina.org/wp-content/uploads/2022/06/2206_10prov_PDV.pdf" TargetMode="External"/><Relationship Id="rId14" Type="http://schemas.openxmlformats.org/officeDocument/2006/relationships/hyperlink" Target="https://www.indec.gob.ar/uploads/informesdeprensa/eph_total_urbano_ingresos_02_234C6277092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d6fa6db5-9f3a-4c93-9e38-61059ee07e95}" enabled="1" method="Standard" siteId="{4e8d09f7-cc79-4ccb-9149-a4238dd17422}" contentBits="0"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6</Pages>
  <Words>3694</Words>
  <Characters>21061</Characters>
  <Application>Microsoft Office Word</Application>
  <DocSecurity>0</DocSecurity>
  <Lines>175</Lines>
  <Paragraphs>49</Paragraphs>
  <ScaleCrop>false</ScaleCrop>
  <Company/>
  <LinksUpToDate>false</LinksUpToDate>
  <CharactersWithSpaces>24706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NTR-2024-156.R1- Main Document (with tables).docx</dc:title>
  <dc:creator>Georgia Alexandrou</dc:creator>
  <cp:lastModifiedBy>Georgia Alexandrou</cp:lastModifiedBy>
  <cp:revision>2</cp:revision>
  <dcterms:created xsi:type="dcterms:W3CDTF">2024-12-23T16:10:00Z</dcterms:created>
  <dcterms:modified xsi:type="dcterms:W3CDTF">2024-12-23T16:10:00Z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2024-12-23T00:00:00Z</vt:filetime>
  </property>
  <property fmtid="{D5CDD505-2E9C-101B-9397-08002B2CF9AE}" pid="3" name="Producer">
    <vt:lpwstr>Skia/PDF m133 Google Docs Renderer</vt:lpwstr>
  </property>
  <property fmtid="{D5CDD505-2E9C-101B-9397-08002B2CF9AE}" pid="4" name="LastSaved">
    <vt:filetime>2024-12-23T00:00:00Z</vt:filetime>
  </property>
</Properties>
</file>